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8A137">
      <w:pPr>
        <w:ind w:firstLine="0" w:firstLineChars="0"/>
        <w:jc w:val="center"/>
        <w:rPr>
          <w:rFonts w:hint="eastAsia" w:ascii="仿宋" w:hAnsi="仿宋" w:eastAsia="仿宋" w:cs="仿宋"/>
          <w:b w:val="0"/>
          <w:bCs w:val="0"/>
          <w:color w:val="auto"/>
          <w:sz w:val="28"/>
          <w:szCs w:val="28"/>
          <w:highlight w:val="none"/>
          <w:lang w:val="en-US" w:eastAsia="zh-CN"/>
        </w:rPr>
      </w:pPr>
    </w:p>
    <w:p w14:paraId="0E445320">
      <w:pPr>
        <w:ind w:firstLine="0" w:firstLineChars="0"/>
        <w:jc w:val="center"/>
        <w:rPr>
          <w:rFonts w:hint="eastAsia" w:ascii="仿宋" w:hAnsi="仿宋" w:eastAsia="仿宋" w:cs="仿宋"/>
          <w:b w:val="0"/>
          <w:bCs w:val="0"/>
          <w:color w:val="auto"/>
          <w:sz w:val="28"/>
          <w:szCs w:val="28"/>
          <w:highlight w:val="none"/>
          <w:lang w:val="en-US" w:eastAsia="zh-CN"/>
        </w:rPr>
      </w:pPr>
    </w:p>
    <w:p w14:paraId="66E8BEF8">
      <w:pPr>
        <w:ind w:firstLine="0" w:firstLineChars="0"/>
        <w:jc w:val="center"/>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rPr>
        <w:drawing>
          <wp:inline distT="0" distB="0" distL="114300" distR="114300">
            <wp:extent cx="3034030" cy="2945130"/>
            <wp:effectExtent l="0" t="0" r="139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034030" cy="2945130"/>
                    </a:xfrm>
                    <a:prstGeom prst="rect">
                      <a:avLst/>
                    </a:prstGeom>
                    <a:noFill/>
                    <a:ln>
                      <a:noFill/>
                    </a:ln>
                  </pic:spPr>
                </pic:pic>
              </a:graphicData>
            </a:graphic>
          </wp:inline>
        </w:drawing>
      </w:r>
    </w:p>
    <w:p w14:paraId="7FB79E1B">
      <w:pPr>
        <w:ind w:firstLine="0" w:firstLineChars="0"/>
        <w:jc w:val="center"/>
        <w:rPr>
          <w:rFonts w:hint="eastAsia" w:ascii="仿宋" w:hAnsi="仿宋" w:eastAsia="仿宋" w:cs="仿宋"/>
          <w:b w:val="0"/>
          <w:bCs w:val="0"/>
          <w:color w:val="auto"/>
          <w:sz w:val="28"/>
          <w:szCs w:val="28"/>
          <w:highlight w:val="none"/>
          <w:lang w:val="en-US" w:eastAsia="zh-CN"/>
        </w:rPr>
      </w:pPr>
    </w:p>
    <w:p w14:paraId="42DFA750">
      <w:pPr>
        <w:ind w:firstLine="0" w:firstLineChars="0"/>
        <w:jc w:val="center"/>
        <w:rPr>
          <w:rFonts w:hint="eastAsia" w:ascii="仿宋" w:hAnsi="仿宋" w:eastAsia="仿宋" w:cs="仿宋"/>
          <w:b w:val="0"/>
          <w:bCs w:val="0"/>
          <w:color w:val="auto"/>
          <w:sz w:val="28"/>
          <w:szCs w:val="28"/>
          <w:highlight w:val="none"/>
          <w:lang w:val="en-US" w:eastAsia="zh-CN"/>
        </w:rPr>
      </w:pPr>
    </w:p>
    <w:p w14:paraId="4CF77197">
      <w:pPr>
        <w:ind w:firstLine="0" w:firstLineChars="0"/>
        <w:jc w:val="center"/>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广东海控特种玻璃技术有限公司</w:t>
      </w:r>
      <w:r>
        <w:rPr>
          <w:rFonts w:hint="eastAsia" w:ascii="仿宋" w:hAnsi="仿宋" w:eastAsia="仿宋" w:cs="仿宋"/>
          <w:b w:val="0"/>
          <w:bCs w:val="0"/>
          <w:color w:val="auto"/>
          <w:sz w:val="28"/>
          <w:szCs w:val="28"/>
          <w:highlight w:val="none"/>
          <w:u w:val="single"/>
          <w:lang w:val="en-US" w:eastAsia="zh-CN"/>
        </w:rPr>
        <w:t>废旧物资回收</w:t>
      </w:r>
      <w:r>
        <w:rPr>
          <w:rFonts w:hint="eastAsia" w:ascii="仿宋" w:hAnsi="仿宋" w:eastAsia="仿宋" w:cs="仿宋"/>
          <w:b w:val="0"/>
          <w:bCs w:val="0"/>
          <w:color w:val="auto"/>
          <w:sz w:val="28"/>
          <w:szCs w:val="28"/>
          <w:highlight w:val="none"/>
          <w:lang w:val="en-US" w:eastAsia="zh-CN"/>
        </w:rPr>
        <w:t>项目</w:t>
      </w:r>
    </w:p>
    <w:p w14:paraId="24B65145">
      <w:pPr>
        <w:ind w:firstLine="0" w:firstLineChars="0"/>
        <w:jc w:val="both"/>
        <w:rPr>
          <w:rFonts w:hint="eastAsia" w:ascii="仿宋" w:hAnsi="仿宋" w:eastAsia="仿宋" w:cs="仿宋"/>
          <w:b w:val="0"/>
          <w:bCs w:val="0"/>
          <w:color w:val="auto"/>
          <w:sz w:val="28"/>
          <w:szCs w:val="28"/>
          <w:highlight w:val="none"/>
          <w:lang w:val="en-US" w:eastAsia="zh-CN"/>
        </w:rPr>
      </w:pPr>
    </w:p>
    <w:p w14:paraId="014BE532">
      <w:pPr>
        <w:ind w:firstLine="0" w:firstLineChars="0"/>
        <w:jc w:val="center"/>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rPr>
        <w:t>招标</w:t>
      </w:r>
      <w:r>
        <w:rPr>
          <w:rFonts w:hint="eastAsia" w:ascii="仿宋" w:hAnsi="仿宋" w:eastAsia="仿宋" w:cs="仿宋"/>
          <w:b w:val="0"/>
          <w:bCs w:val="0"/>
          <w:color w:val="auto"/>
          <w:sz w:val="28"/>
          <w:szCs w:val="28"/>
          <w:highlight w:val="none"/>
          <w:lang w:val="en-US" w:eastAsia="zh-CN"/>
        </w:rPr>
        <w:t>文件</w:t>
      </w:r>
    </w:p>
    <w:p w14:paraId="3FE8C3D7">
      <w:pPr>
        <w:ind w:firstLine="0" w:firstLineChars="0"/>
        <w:jc w:val="center"/>
        <w:rPr>
          <w:rFonts w:hint="eastAsia" w:ascii="仿宋" w:hAnsi="仿宋" w:eastAsia="仿宋" w:cs="仿宋"/>
          <w:b w:val="0"/>
          <w:bCs w:val="0"/>
          <w:color w:val="auto"/>
          <w:sz w:val="28"/>
          <w:szCs w:val="28"/>
          <w:highlight w:val="none"/>
          <w:lang w:val="en-US" w:eastAsia="zh-CN"/>
        </w:rPr>
      </w:pPr>
    </w:p>
    <w:p w14:paraId="515F9308">
      <w:pPr>
        <w:ind w:firstLine="0" w:firstLineChars="0"/>
        <w:jc w:val="both"/>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招标人：</w:t>
      </w:r>
      <w:r>
        <w:rPr>
          <w:rFonts w:hint="eastAsia" w:ascii="仿宋" w:hAnsi="仿宋" w:eastAsia="仿宋" w:cs="仿宋"/>
          <w:b w:val="0"/>
          <w:bCs w:val="0"/>
          <w:color w:val="auto"/>
          <w:sz w:val="28"/>
          <w:szCs w:val="28"/>
          <w:highlight w:val="none"/>
        </w:rPr>
        <w:t>广东海控特</w:t>
      </w:r>
      <w:r>
        <w:rPr>
          <w:rFonts w:hint="eastAsia" w:ascii="仿宋" w:hAnsi="仿宋" w:eastAsia="仿宋" w:cs="仿宋"/>
          <w:b w:val="0"/>
          <w:bCs w:val="0"/>
          <w:color w:val="auto"/>
          <w:sz w:val="28"/>
          <w:szCs w:val="28"/>
          <w:highlight w:val="none"/>
          <w:lang w:eastAsia="zh-CN"/>
        </w:rPr>
        <w:t>种</w:t>
      </w:r>
      <w:r>
        <w:rPr>
          <w:rFonts w:hint="eastAsia" w:ascii="仿宋" w:hAnsi="仿宋" w:eastAsia="仿宋" w:cs="仿宋"/>
          <w:b w:val="0"/>
          <w:bCs w:val="0"/>
          <w:color w:val="auto"/>
          <w:sz w:val="28"/>
          <w:szCs w:val="28"/>
          <w:highlight w:val="none"/>
        </w:rPr>
        <w:t>玻璃技术有限公司</w:t>
      </w:r>
    </w:p>
    <w:p w14:paraId="73127A2C">
      <w:pPr>
        <w:pStyle w:val="2"/>
        <w:rPr>
          <w:rFonts w:hint="eastAsia" w:ascii="仿宋" w:hAnsi="仿宋" w:eastAsia="仿宋" w:cs="仿宋"/>
          <w:b w:val="0"/>
          <w:bCs w:val="0"/>
          <w:color w:val="auto"/>
          <w:sz w:val="28"/>
          <w:szCs w:val="28"/>
          <w:highlight w:val="none"/>
        </w:rPr>
      </w:pPr>
    </w:p>
    <w:p w14:paraId="5CF272B5">
      <w:pPr>
        <w:ind w:left="2520" w:hanging="1960" w:hangingChars="7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招标人地址：广东省惠州市大亚湾经济技术开发区</w:t>
      </w:r>
    </w:p>
    <w:p w14:paraId="0CF7F48F">
      <w:pPr>
        <w:ind w:left="2432" w:leftChars="978" w:hanging="280" w:hangingChars="1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响水河工业区石化大道西23号</w:t>
      </w:r>
    </w:p>
    <w:p w14:paraId="25427474">
      <w:pPr>
        <w:pStyle w:val="2"/>
        <w:rPr>
          <w:rFonts w:hint="eastAsia" w:ascii="仿宋" w:hAnsi="仿宋" w:eastAsia="仿宋" w:cs="仿宋"/>
          <w:b w:val="0"/>
          <w:bCs w:val="0"/>
          <w:color w:val="auto"/>
          <w:sz w:val="28"/>
          <w:szCs w:val="28"/>
          <w:highlight w:val="none"/>
          <w:lang w:val="en-US" w:eastAsia="zh-CN"/>
        </w:rPr>
      </w:pPr>
    </w:p>
    <w:p w14:paraId="7B22EA30">
      <w:pPr>
        <w:pStyle w:val="2"/>
        <w:ind w:left="0" w:leftChars="0" w:firstLine="0" w:firstLineChars="0"/>
        <w:rPr>
          <w:rFonts w:hint="eastAsia" w:ascii="仿宋" w:hAnsi="仿宋" w:eastAsia="仿宋" w:cs="仿宋"/>
          <w:b w:val="0"/>
          <w:bCs w:val="0"/>
          <w:color w:val="auto"/>
          <w:sz w:val="28"/>
          <w:szCs w:val="28"/>
          <w:highlight w:val="none"/>
          <w:lang w:val="en-US" w:eastAsia="zh-CN"/>
        </w:rPr>
      </w:pPr>
    </w:p>
    <w:p w14:paraId="044ED586">
      <w:pPr>
        <w:ind w:firstLine="0" w:firstLineChars="0"/>
        <w:jc w:val="center"/>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日期：2024年12月</w:t>
      </w:r>
    </w:p>
    <w:p w14:paraId="35D05AEB">
      <w:pPr>
        <w:pStyle w:val="2"/>
        <w:rPr>
          <w:rFonts w:hint="eastAsia"/>
          <w:lang w:val="en-US" w:eastAsia="zh-CN"/>
        </w:rPr>
      </w:pPr>
    </w:p>
    <w:p w14:paraId="7E4CCF63">
      <w:pPr>
        <w:keepNext w:val="0"/>
        <w:keepLines w:val="0"/>
        <w:pageBreakBefore w:val="0"/>
        <w:widowControl/>
        <w:kinsoku/>
        <w:wordWrap/>
        <w:overflowPunct/>
        <w:topLinePunct w:val="0"/>
        <w:autoSpaceDE/>
        <w:autoSpaceDN/>
        <w:bidi w:val="0"/>
        <w:spacing w:line="240" w:lineRule="exact"/>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bidi="ar-SA"/>
        </w:rPr>
        <w:br w:type="page"/>
      </w:r>
    </w:p>
    <w:p w14:paraId="2CD88FE5">
      <w:pPr>
        <w:keepNext w:val="0"/>
        <w:keepLines w:val="0"/>
        <w:pageBreakBefore w:val="0"/>
        <w:kinsoku/>
        <w:wordWrap/>
        <w:overflowPunct/>
        <w:topLinePunct w:val="0"/>
        <w:autoSpaceDE/>
        <w:autoSpaceDN/>
        <w:bidi w:val="0"/>
        <w:adjustRightInd w:val="0"/>
        <w:snapToGrid w:val="0"/>
        <w:spacing w:after="0" w:line="360" w:lineRule="exact"/>
        <w:ind w:firstLine="0" w:firstLineChars="0"/>
        <w:textAlignment w:val="auto"/>
        <w:outlineLvl w:val="0"/>
        <w:rPr>
          <w:rFonts w:hint="eastAsia" w:ascii="仿宋" w:hAnsi="仿宋" w:eastAsia="仿宋" w:cs="仿宋"/>
          <w:b w:val="0"/>
          <w:bCs w:val="0"/>
          <w:color w:val="auto"/>
          <w:sz w:val="28"/>
          <w:szCs w:val="28"/>
          <w:highlight w:val="none"/>
          <w:lang w:val="en-US" w:eastAsia="zh-CN"/>
        </w:rPr>
      </w:pPr>
      <w:bookmarkStart w:id="0" w:name="_Toc24549"/>
      <w:r>
        <w:rPr>
          <w:rFonts w:hint="eastAsia" w:ascii="仿宋" w:hAnsi="仿宋" w:eastAsia="仿宋" w:cs="仿宋"/>
          <w:b w:val="0"/>
          <w:bCs w:val="0"/>
          <w:color w:val="auto"/>
          <w:sz w:val="28"/>
          <w:szCs w:val="28"/>
          <w:highlight w:val="none"/>
          <w:lang w:val="en-US" w:eastAsia="zh-CN"/>
        </w:rPr>
        <w:t>一、投标人须知</w:t>
      </w:r>
      <w:bookmarkEnd w:id="0"/>
    </w:p>
    <w:tbl>
      <w:tblPr>
        <w:tblStyle w:val="10"/>
        <w:tblW w:w="85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1346"/>
        <w:gridCol w:w="6697"/>
      </w:tblGrid>
      <w:tr w14:paraId="7F72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96" w:type="dxa"/>
            <w:vAlign w:val="center"/>
          </w:tcPr>
          <w:p w14:paraId="28FE8A2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序号</w:t>
            </w:r>
          </w:p>
        </w:tc>
        <w:tc>
          <w:tcPr>
            <w:tcW w:w="1346" w:type="dxa"/>
            <w:vAlign w:val="center"/>
          </w:tcPr>
          <w:p w14:paraId="5DC4338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条款名称</w:t>
            </w:r>
          </w:p>
        </w:tc>
        <w:tc>
          <w:tcPr>
            <w:tcW w:w="6697" w:type="dxa"/>
            <w:vAlign w:val="center"/>
          </w:tcPr>
          <w:p w14:paraId="1DE4DE9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内容</w:t>
            </w:r>
          </w:p>
        </w:tc>
      </w:tr>
      <w:tr w14:paraId="4C5B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71D3AAF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w:t>
            </w:r>
          </w:p>
        </w:tc>
        <w:tc>
          <w:tcPr>
            <w:tcW w:w="1346" w:type="dxa"/>
            <w:vAlign w:val="center"/>
          </w:tcPr>
          <w:p w14:paraId="1BDE3FF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招标人</w:t>
            </w:r>
          </w:p>
        </w:tc>
        <w:tc>
          <w:tcPr>
            <w:tcW w:w="6697" w:type="dxa"/>
            <w:vAlign w:val="center"/>
          </w:tcPr>
          <w:p w14:paraId="4AA44A3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名称：广东海控特种玻璃技术有限公司</w:t>
            </w:r>
          </w:p>
          <w:p w14:paraId="1FAB4E0B">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 xml:space="preserve">地址：广东省惠州市大亚湾经济技术开   </w:t>
            </w:r>
          </w:p>
          <w:p w14:paraId="2D44C06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发区响水河工业区石化大道西23号</w:t>
            </w:r>
          </w:p>
          <w:p w14:paraId="48517F4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 xml:space="preserve">联系人：张晨明  15875500591 焦永铭  13692783396  </w:t>
            </w:r>
          </w:p>
        </w:tc>
      </w:tr>
      <w:tr w14:paraId="773C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707882B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w:t>
            </w:r>
          </w:p>
        </w:tc>
        <w:tc>
          <w:tcPr>
            <w:tcW w:w="1346" w:type="dxa"/>
            <w:vAlign w:val="center"/>
          </w:tcPr>
          <w:p w14:paraId="43CA05CB">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招标项目名称</w:t>
            </w:r>
          </w:p>
        </w:tc>
        <w:tc>
          <w:tcPr>
            <w:tcW w:w="6697" w:type="dxa"/>
            <w:vAlign w:val="center"/>
          </w:tcPr>
          <w:p w14:paraId="48D3B65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广东海控特种玻璃技术有限公司废旧物资回收</w:t>
            </w:r>
          </w:p>
        </w:tc>
      </w:tr>
      <w:tr w14:paraId="74F1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70E757DB">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w:t>
            </w:r>
          </w:p>
        </w:tc>
        <w:tc>
          <w:tcPr>
            <w:tcW w:w="1346" w:type="dxa"/>
            <w:vAlign w:val="center"/>
          </w:tcPr>
          <w:p w14:paraId="3E7AB88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招标范围</w:t>
            </w:r>
          </w:p>
        </w:tc>
        <w:tc>
          <w:tcPr>
            <w:tcW w:w="6697" w:type="dxa"/>
            <w:vAlign w:val="center"/>
          </w:tcPr>
          <w:p w14:paraId="37E3BA2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广东海控特种玻璃技术有限公司所属厂内废旧物资回收，其中“垃圾池回收”费用需一次性缴清全年的费用。</w:t>
            </w:r>
          </w:p>
        </w:tc>
      </w:tr>
      <w:tr w14:paraId="2546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696D226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4</w:t>
            </w:r>
          </w:p>
        </w:tc>
        <w:tc>
          <w:tcPr>
            <w:tcW w:w="1346" w:type="dxa"/>
            <w:vAlign w:val="center"/>
          </w:tcPr>
          <w:p w14:paraId="112CA73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标的物时间段</w:t>
            </w:r>
          </w:p>
        </w:tc>
        <w:tc>
          <w:tcPr>
            <w:tcW w:w="6697" w:type="dxa"/>
            <w:vAlign w:val="center"/>
          </w:tcPr>
          <w:p w14:paraId="4252AD8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2025年1月1日至2025年12月31日</w:t>
            </w:r>
          </w:p>
        </w:tc>
      </w:tr>
      <w:tr w14:paraId="19F4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5F95286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5</w:t>
            </w:r>
          </w:p>
        </w:tc>
        <w:tc>
          <w:tcPr>
            <w:tcW w:w="1346" w:type="dxa"/>
            <w:vAlign w:val="center"/>
          </w:tcPr>
          <w:p w14:paraId="4277F22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招标方式</w:t>
            </w:r>
          </w:p>
        </w:tc>
        <w:tc>
          <w:tcPr>
            <w:tcW w:w="6697" w:type="dxa"/>
            <w:vAlign w:val="center"/>
          </w:tcPr>
          <w:p w14:paraId="3E33FA0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通过招标人内部公告栏张贴、公司官网等发布方式，公开招标。</w:t>
            </w:r>
          </w:p>
        </w:tc>
      </w:tr>
      <w:tr w14:paraId="031F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0136645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6</w:t>
            </w:r>
          </w:p>
        </w:tc>
        <w:tc>
          <w:tcPr>
            <w:tcW w:w="1346" w:type="dxa"/>
            <w:vAlign w:val="center"/>
          </w:tcPr>
          <w:p w14:paraId="7D66E8E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投标文件要求（资质条件、能力、信誉，以上均作为综合评标项）</w:t>
            </w:r>
          </w:p>
        </w:tc>
        <w:tc>
          <w:tcPr>
            <w:tcW w:w="6697" w:type="dxa"/>
            <w:vAlign w:val="center"/>
          </w:tcPr>
          <w:p w14:paraId="17F1651D">
            <w:pPr>
              <w:keepNext w:val="0"/>
              <w:keepLines w:val="0"/>
              <w:pageBreakBefore w:val="0"/>
              <w:widowControl w:val="0"/>
              <w:numPr>
                <w:ilvl w:val="0"/>
                <w:numId w:val="1"/>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资质要求：自然人或独立法人资格；</w:t>
            </w:r>
          </w:p>
          <w:p w14:paraId="4AD15EF3">
            <w:pPr>
              <w:keepNext w:val="0"/>
              <w:keepLines w:val="0"/>
              <w:pageBreakBefore w:val="0"/>
              <w:widowControl w:val="0"/>
              <w:numPr>
                <w:ilvl w:val="0"/>
                <w:numId w:val="1"/>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财务要求：良好的资金、财务状况；</w:t>
            </w:r>
          </w:p>
          <w:p w14:paraId="0C1C1F9D">
            <w:pPr>
              <w:keepNext w:val="0"/>
              <w:keepLines w:val="0"/>
              <w:pageBreakBefore w:val="0"/>
              <w:widowControl w:val="0"/>
              <w:numPr>
                <w:ilvl w:val="0"/>
                <w:numId w:val="1"/>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投标人业绩：良好的履</w:t>
            </w:r>
            <w:bookmarkStart w:id="26" w:name="_GoBack"/>
            <w:bookmarkEnd w:id="26"/>
            <w:r>
              <w:rPr>
                <w:rFonts w:hint="eastAsia" w:ascii="仿宋" w:hAnsi="仿宋" w:eastAsia="仿宋" w:cs="仿宋"/>
                <w:b w:val="0"/>
                <w:bCs w:val="0"/>
                <w:color w:val="auto"/>
                <w:sz w:val="28"/>
                <w:szCs w:val="28"/>
                <w:highlight w:val="none"/>
                <w:vertAlign w:val="baseline"/>
                <w:lang w:val="en-US" w:eastAsia="zh-CN"/>
              </w:rPr>
              <w:t>约纪录（近年完成的类似项目情况表）；</w:t>
            </w:r>
          </w:p>
          <w:p w14:paraId="1F9ADA1A">
            <w:pPr>
              <w:keepNext w:val="0"/>
              <w:keepLines w:val="0"/>
              <w:pageBreakBefore w:val="0"/>
              <w:widowControl w:val="0"/>
              <w:numPr>
                <w:ilvl w:val="0"/>
                <w:numId w:val="1"/>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资料提交要求：自然人须提交个人身份证复印件、法人须提供营业执照及行政许可/资质证书的复印件、</w:t>
            </w:r>
            <w:r>
              <w:rPr>
                <w:rFonts w:hint="eastAsia" w:ascii="仿宋" w:hAnsi="仿宋" w:eastAsia="仿宋" w:cs="仿宋"/>
                <w:b w:val="0"/>
                <w:bCs w:val="0"/>
                <w:color w:val="auto"/>
                <w:sz w:val="28"/>
                <w:szCs w:val="28"/>
                <w:highlight w:val="none"/>
                <w:lang w:val="en-US" w:eastAsia="zh-CN"/>
              </w:rPr>
              <w:t>法定代表人（单位负责人）身份证明或</w:t>
            </w:r>
            <w:r>
              <w:rPr>
                <w:rFonts w:hint="eastAsia" w:ascii="仿宋" w:hAnsi="仿宋" w:eastAsia="仿宋" w:cs="仿宋"/>
                <w:b w:val="0"/>
                <w:bCs w:val="0"/>
                <w:color w:val="auto"/>
                <w:sz w:val="28"/>
                <w:szCs w:val="28"/>
                <w:highlight w:val="none"/>
                <w:vertAlign w:val="baseline"/>
                <w:lang w:val="en-US" w:eastAsia="zh-CN"/>
              </w:rPr>
              <w:t>授权投标的授权委托书；财务情况表，近年完成的类似项目情况表。</w:t>
            </w:r>
          </w:p>
        </w:tc>
      </w:tr>
      <w:tr w14:paraId="5561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3C401F1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7</w:t>
            </w:r>
          </w:p>
        </w:tc>
        <w:tc>
          <w:tcPr>
            <w:tcW w:w="1346" w:type="dxa"/>
            <w:vAlign w:val="center"/>
          </w:tcPr>
          <w:p w14:paraId="3E57F56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是否接受联合体投标</w:t>
            </w:r>
          </w:p>
        </w:tc>
        <w:tc>
          <w:tcPr>
            <w:tcW w:w="6697" w:type="dxa"/>
            <w:vAlign w:val="center"/>
          </w:tcPr>
          <w:p w14:paraId="2D39648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不接受</w:t>
            </w:r>
          </w:p>
        </w:tc>
      </w:tr>
      <w:tr w14:paraId="7A0A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489A862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8</w:t>
            </w:r>
          </w:p>
        </w:tc>
        <w:tc>
          <w:tcPr>
            <w:tcW w:w="1346" w:type="dxa"/>
            <w:vAlign w:val="center"/>
          </w:tcPr>
          <w:p w14:paraId="4AB68A2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投标人不得存在的其他情形</w:t>
            </w:r>
          </w:p>
        </w:tc>
        <w:tc>
          <w:tcPr>
            <w:tcW w:w="6697" w:type="dxa"/>
            <w:vAlign w:val="center"/>
          </w:tcPr>
          <w:p w14:paraId="4AAE50E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在近三年内投标人或其法定代表人、拟委任的项目负责人有行贿犯罪行为的。</w:t>
            </w:r>
          </w:p>
        </w:tc>
      </w:tr>
      <w:tr w14:paraId="166F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77691E9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9</w:t>
            </w:r>
          </w:p>
        </w:tc>
        <w:tc>
          <w:tcPr>
            <w:tcW w:w="1346" w:type="dxa"/>
            <w:vAlign w:val="center"/>
          </w:tcPr>
          <w:p w14:paraId="086C059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税金的计算方法</w:t>
            </w:r>
          </w:p>
        </w:tc>
        <w:tc>
          <w:tcPr>
            <w:tcW w:w="6697" w:type="dxa"/>
            <w:vAlign w:val="center"/>
          </w:tcPr>
          <w:p w14:paraId="53D356E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不含税总价*13%税率</w:t>
            </w:r>
          </w:p>
        </w:tc>
      </w:tr>
      <w:tr w14:paraId="4661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025EC62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10</w:t>
            </w:r>
          </w:p>
        </w:tc>
        <w:tc>
          <w:tcPr>
            <w:tcW w:w="1346" w:type="dxa"/>
            <w:vAlign w:val="center"/>
          </w:tcPr>
          <w:p w14:paraId="4A11E0F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最低投标限价</w:t>
            </w:r>
          </w:p>
        </w:tc>
        <w:tc>
          <w:tcPr>
            <w:tcW w:w="6697" w:type="dxa"/>
            <w:vAlign w:val="center"/>
          </w:tcPr>
          <w:p w14:paraId="0566978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有，最低投标限价见招标文件附件一：明细（含最低投标限价）。</w:t>
            </w:r>
          </w:p>
        </w:tc>
      </w:tr>
      <w:tr w14:paraId="5C02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3D0E7F0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11</w:t>
            </w:r>
          </w:p>
        </w:tc>
        <w:tc>
          <w:tcPr>
            <w:tcW w:w="1346" w:type="dxa"/>
            <w:vAlign w:val="center"/>
          </w:tcPr>
          <w:p w14:paraId="4F30179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投标报价的其他要求</w:t>
            </w:r>
          </w:p>
        </w:tc>
        <w:tc>
          <w:tcPr>
            <w:tcW w:w="6697" w:type="dxa"/>
            <w:vAlign w:val="center"/>
          </w:tcPr>
          <w:p w14:paraId="184E900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（1）投标人对同一招标项目不得出现两个或以上投标报价；</w:t>
            </w:r>
          </w:p>
          <w:p w14:paraId="29F2E95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（2）投标报价必须按本招标文件规定的格式报价，并不得有任何不规范的涂改；</w:t>
            </w:r>
          </w:p>
          <w:p w14:paraId="5B4045B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（3）投标报价为含13%增值税专用发票价。</w:t>
            </w:r>
          </w:p>
        </w:tc>
      </w:tr>
      <w:tr w14:paraId="433DF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04E0147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12</w:t>
            </w:r>
          </w:p>
        </w:tc>
        <w:tc>
          <w:tcPr>
            <w:tcW w:w="1346" w:type="dxa"/>
            <w:vAlign w:val="center"/>
          </w:tcPr>
          <w:p w14:paraId="3E6B039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投标保证金</w:t>
            </w:r>
          </w:p>
        </w:tc>
        <w:tc>
          <w:tcPr>
            <w:tcW w:w="6697" w:type="dxa"/>
            <w:vAlign w:val="center"/>
          </w:tcPr>
          <w:p w14:paraId="1BAB3C7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（1）是否要求投标人递交投标保证金：</w:t>
            </w:r>
          </w:p>
          <w:p w14:paraId="7AF7D83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是，投标保证金的形式：转账、现金；不接受投标保函。</w:t>
            </w:r>
          </w:p>
          <w:p w14:paraId="3C770BD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vertAlign w:val="baseline"/>
                <w:lang w:val="en-US" w:eastAsia="zh-CN"/>
              </w:rPr>
              <w:t>（2）投标保证金的金额：2万元；</w:t>
            </w:r>
          </w:p>
          <w:p w14:paraId="43A9E84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（3）投标保证金须在递交投标文件截止时间前通过以下方式完成缴纳，否则视为放弃本次投标机会，一律不接受其投标文件。</w:t>
            </w:r>
          </w:p>
          <w:p w14:paraId="2EBEE73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现场缴纳：投标人可至招标人住所（惠州市大亚湾石化大道西23号），科研楼二楼，财务部办公室现场缴纳。</w:t>
            </w:r>
          </w:p>
          <w:p w14:paraId="08F4926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转账方式缴纳：投标人可从其基本账户将投标保证金汇入</w:t>
            </w:r>
          </w:p>
          <w:p w14:paraId="21E6519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招标人以下账户：户名：广东海控特种玻璃技术有限公司</w:t>
            </w:r>
          </w:p>
          <w:p w14:paraId="746E967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vertAlign w:val="baseline"/>
                <w:lang w:val="en-US" w:eastAsia="zh-CN"/>
              </w:rPr>
              <w:t>账号：44232801040003726开户行：中国农业银行股份有限公司惠州大亚湾支行</w:t>
            </w:r>
          </w:p>
          <w:p w14:paraId="5662656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vertAlign w:val="baseline"/>
                <w:lang w:val="en-US" w:eastAsia="zh-CN"/>
              </w:rPr>
              <w:t>（4）款项到账后，招标人将开具相应收据给投标人。</w:t>
            </w:r>
          </w:p>
          <w:p w14:paraId="68977EE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（5）招标人将于《中标通知书》发出后30个工作日内无息退回未中标的投标人或其基本账户。</w:t>
            </w:r>
          </w:p>
          <w:p w14:paraId="4CDEE88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（6）中标人在收到招标人正式《中标通知书》后，其已支付的投标保证金将自动转为履约保证金的一部分，中标人需在3日内另行支付2万元，合计4万元，作为本项目的履约保证金。</w:t>
            </w:r>
          </w:p>
          <w:p w14:paraId="0188107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中标人未在规定期限内交齐履约保证金或中标后悔标的，其已交的投标保证金不予退回。</w:t>
            </w:r>
          </w:p>
          <w:p w14:paraId="6069079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（7）保证金相关服务联系人：财务部；罗泳诗               联系方式：0752-5199101</w:t>
            </w:r>
          </w:p>
        </w:tc>
      </w:tr>
      <w:tr w14:paraId="7998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0F42639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13</w:t>
            </w:r>
          </w:p>
        </w:tc>
        <w:tc>
          <w:tcPr>
            <w:tcW w:w="1346" w:type="dxa"/>
            <w:vAlign w:val="center"/>
          </w:tcPr>
          <w:p w14:paraId="61D90C2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投标文件份数及其他要求</w:t>
            </w:r>
          </w:p>
        </w:tc>
        <w:tc>
          <w:tcPr>
            <w:tcW w:w="6697" w:type="dxa"/>
            <w:vAlign w:val="center"/>
          </w:tcPr>
          <w:p w14:paraId="69179C2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投标文件份数：正本：1份，副本：2份；每份需分别装订成册。</w:t>
            </w:r>
          </w:p>
          <w:p w14:paraId="59656FEB">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提交电子版文件1份，已签字盖章后的PDF扫描件。</w:t>
            </w:r>
          </w:p>
          <w:p w14:paraId="481993D4">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统一A4印刷本，纸质信封。信封封面标明文件题名、</w:t>
            </w:r>
          </w:p>
          <w:p w14:paraId="1D73A5B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投标单位、封装时间、右上角打上正本（或副本），并</w:t>
            </w:r>
            <w:r>
              <w:rPr>
                <w:rFonts w:hint="eastAsia" w:ascii="仿宋" w:hAnsi="仿宋" w:eastAsia="仿宋" w:cs="仿宋"/>
                <w:b w:val="0"/>
                <w:bCs w:val="0"/>
                <w:color w:val="auto"/>
                <w:sz w:val="28"/>
                <w:szCs w:val="28"/>
                <w:highlight w:val="none"/>
                <w:lang w:val="en-US" w:eastAsia="zh-CN"/>
              </w:rPr>
              <w:t>加盖投标人单位公章或由投标人的法定代表人（单位负责人）或其授权的代理人签字</w:t>
            </w:r>
            <w:r>
              <w:rPr>
                <w:rFonts w:hint="eastAsia" w:ascii="仿宋" w:hAnsi="仿宋" w:eastAsia="仿宋" w:cs="仿宋"/>
                <w:b w:val="0"/>
                <w:bCs w:val="0"/>
                <w:color w:val="auto"/>
                <w:sz w:val="28"/>
                <w:szCs w:val="28"/>
                <w:highlight w:val="none"/>
                <w:vertAlign w:val="baseline"/>
                <w:lang w:val="en-US" w:eastAsia="zh-CN"/>
              </w:rPr>
              <w:t>。</w:t>
            </w:r>
          </w:p>
          <w:p w14:paraId="5D1F77F9">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lang w:val="en-US" w:eastAsia="zh-CN"/>
              </w:rPr>
              <w:t>未按要求密封的投标文件，招标人将予以拒收。</w:t>
            </w:r>
          </w:p>
          <w:p w14:paraId="3F6A7C5D">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投标文件的页码：必须按每本逐页从1开始，按照流</w:t>
            </w:r>
          </w:p>
          <w:p w14:paraId="3523A1C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水号编号（包括附图、证件、图片等）（空白页面不编号）。</w:t>
            </w:r>
          </w:p>
          <w:p w14:paraId="0A82BCC9">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中标人在收到《中标通知书》前应根据招标人要求再</w:t>
            </w:r>
          </w:p>
          <w:p w14:paraId="48EFF4F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补交相关文件。</w:t>
            </w:r>
          </w:p>
        </w:tc>
      </w:tr>
      <w:tr w14:paraId="4875E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96" w:type="dxa"/>
            <w:vAlign w:val="center"/>
          </w:tcPr>
          <w:p w14:paraId="0D6D0F4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14</w:t>
            </w:r>
          </w:p>
        </w:tc>
        <w:tc>
          <w:tcPr>
            <w:tcW w:w="1346" w:type="dxa"/>
            <w:vAlign w:val="center"/>
          </w:tcPr>
          <w:p w14:paraId="6FB2287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投标截止时间</w:t>
            </w:r>
          </w:p>
        </w:tc>
        <w:tc>
          <w:tcPr>
            <w:tcW w:w="6697" w:type="dxa"/>
            <w:vAlign w:val="center"/>
          </w:tcPr>
          <w:p w14:paraId="0F5B045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2024年12月19日</w:t>
            </w:r>
          </w:p>
        </w:tc>
      </w:tr>
      <w:tr w14:paraId="7C14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96" w:type="dxa"/>
            <w:vAlign w:val="center"/>
          </w:tcPr>
          <w:p w14:paraId="526FAB7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15</w:t>
            </w:r>
          </w:p>
        </w:tc>
        <w:tc>
          <w:tcPr>
            <w:tcW w:w="1346" w:type="dxa"/>
            <w:vAlign w:val="center"/>
          </w:tcPr>
          <w:p w14:paraId="6FC9008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投标文件是否退还</w:t>
            </w:r>
          </w:p>
        </w:tc>
        <w:tc>
          <w:tcPr>
            <w:tcW w:w="6697" w:type="dxa"/>
            <w:vAlign w:val="center"/>
          </w:tcPr>
          <w:p w14:paraId="706D85A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 xml:space="preserve">否 </w:t>
            </w:r>
          </w:p>
        </w:tc>
      </w:tr>
      <w:tr w14:paraId="403B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96" w:type="dxa"/>
            <w:vAlign w:val="center"/>
          </w:tcPr>
          <w:p w14:paraId="423E22CE">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16</w:t>
            </w:r>
          </w:p>
        </w:tc>
        <w:tc>
          <w:tcPr>
            <w:tcW w:w="1346" w:type="dxa"/>
            <w:vAlign w:val="center"/>
          </w:tcPr>
          <w:p w14:paraId="650A248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开标时间和地点</w:t>
            </w:r>
          </w:p>
        </w:tc>
        <w:tc>
          <w:tcPr>
            <w:tcW w:w="6697" w:type="dxa"/>
            <w:vAlign w:val="center"/>
          </w:tcPr>
          <w:p w14:paraId="7153ED99">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开标时间：2024年12月19日</w:t>
            </w:r>
          </w:p>
          <w:p w14:paraId="6E38D3F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开标地点：同投递招标文件地点</w:t>
            </w:r>
          </w:p>
        </w:tc>
      </w:tr>
      <w:tr w14:paraId="2E88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96" w:type="dxa"/>
            <w:vAlign w:val="center"/>
          </w:tcPr>
          <w:p w14:paraId="42640D7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17</w:t>
            </w:r>
          </w:p>
        </w:tc>
        <w:tc>
          <w:tcPr>
            <w:tcW w:w="1346" w:type="dxa"/>
            <w:vAlign w:val="center"/>
          </w:tcPr>
          <w:p w14:paraId="72E046A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开标顺序</w:t>
            </w:r>
          </w:p>
        </w:tc>
        <w:tc>
          <w:tcPr>
            <w:tcW w:w="6697" w:type="dxa"/>
            <w:vAlign w:val="center"/>
          </w:tcPr>
          <w:p w14:paraId="2224E0C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随机</w:t>
            </w:r>
          </w:p>
        </w:tc>
      </w:tr>
      <w:tr w14:paraId="3053C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5034D2AE">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18</w:t>
            </w:r>
          </w:p>
        </w:tc>
        <w:tc>
          <w:tcPr>
            <w:tcW w:w="1346" w:type="dxa"/>
            <w:shd w:val="clear" w:color="auto" w:fill="auto"/>
            <w:vAlign w:val="center"/>
          </w:tcPr>
          <w:p w14:paraId="1142CD5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分包</w:t>
            </w:r>
          </w:p>
        </w:tc>
        <w:tc>
          <w:tcPr>
            <w:tcW w:w="6697" w:type="dxa"/>
            <w:shd w:val="clear" w:color="auto" w:fill="auto"/>
            <w:vAlign w:val="center"/>
          </w:tcPr>
          <w:p w14:paraId="0B8BD96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中标人不得向他人转让中标项目，不得分包。</w:t>
            </w:r>
          </w:p>
        </w:tc>
      </w:tr>
      <w:tr w14:paraId="20767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0" w:type="auto"/>
            <w:vAlign w:val="center"/>
          </w:tcPr>
          <w:p w14:paraId="5B5583E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19</w:t>
            </w:r>
          </w:p>
        </w:tc>
        <w:tc>
          <w:tcPr>
            <w:tcW w:w="1346" w:type="dxa"/>
            <w:vAlign w:val="center"/>
          </w:tcPr>
          <w:p w14:paraId="1D1DEAB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评标委员会推荐中标候选人的人数</w:t>
            </w:r>
          </w:p>
        </w:tc>
        <w:tc>
          <w:tcPr>
            <w:tcW w:w="6697" w:type="dxa"/>
            <w:vAlign w:val="center"/>
          </w:tcPr>
          <w:p w14:paraId="6192379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3名。若可推荐的单位不足3名时，按能推荐的最大数推荐。</w:t>
            </w:r>
          </w:p>
        </w:tc>
      </w:tr>
      <w:tr w14:paraId="65C5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77D4D4B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20</w:t>
            </w:r>
          </w:p>
        </w:tc>
        <w:tc>
          <w:tcPr>
            <w:tcW w:w="1346" w:type="dxa"/>
            <w:shd w:val="clear" w:color="auto" w:fill="auto"/>
            <w:vAlign w:val="center"/>
          </w:tcPr>
          <w:p w14:paraId="7252173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中标通知书</w:t>
            </w:r>
          </w:p>
        </w:tc>
        <w:tc>
          <w:tcPr>
            <w:tcW w:w="6697" w:type="dxa"/>
            <w:shd w:val="clear" w:color="auto" w:fill="auto"/>
            <w:vAlign w:val="center"/>
          </w:tcPr>
          <w:p w14:paraId="787E067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投标有效期内，招标人以书面形式向中标人发出中标通知书。</w:t>
            </w:r>
          </w:p>
        </w:tc>
      </w:tr>
      <w:tr w14:paraId="5C3C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35BBFCC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21</w:t>
            </w:r>
          </w:p>
        </w:tc>
        <w:tc>
          <w:tcPr>
            <w:tcW w:w="1346" w:type="dxa"/>
            <w:shd w:val="clear" w:color="auto" w:fill="auto"/>
            <w:vAlign w:val="center"/>
          </w:tcPr>
          <w:p w14:paraId="7F0AA7E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履约保证金</w:t>
            </w:r>
          </w:p>
        </w:tc>
        <w:tc>
          <w:tcPr>
            <w:tcW w:w="6697" w:type="dxa"/>
            <w:shd w:val="clear" w:color="auto" w:fill="auto"/>
            <w:vAlign w:val="center"/>
          </w:tcPr>
          <w:p w14:paraId="6B47C25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是否要求中标人提交履约保证金：</w:t>
            </w:r>
          </w:p>
          <w:p w14:paraId="73E6BF2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是，履约保证金的形式：4万元。中标人在收到《中标通知书》后，其已支付的投标保证金将自动转为履约保证金的一部分，中标人需在3日内另行支付2万元，合计4万元，作为本项目的履约保证金。</w:t>
            </w:r>
          </w:p>
        </w:tc>
      </w:tr>
      <w:tr w14:paraId="4C75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03BE61A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22</w:t>
            </w:r>
          </w:p>
        </w:tc>
        <w:tc>
          <w:tcPr>
            <w:tcW w:w="1346" w:type="dxa"/>
            <w:shd w:val="clear" w:color="auto" w:fill="auto"/>
            <w:vAlign w:val="center"/>
          </w:tcPr>
          <w:p w14:paraId="4B373D6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价格的核准原则</w:t>
            </w:r>
          </w:p>
        </w:tc>
        <w:tc>
          <w:tcPr>
            <w:tcW w:w="6697" w:type="dxa"/>
            <w:shd w:val="clear" w:color="auto" w:fill="auto"/>
            <w:vAlign w:val="top"/>
          </w:tcPr>
          <w:p w14:paraId="40C7F0C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（1）若价格有误，以评标委员会核准的价格为准。</w:t>
            </w:r>
          </w:p>
          <w:p w14:paraId="49F52D5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（2）若用小写表示的金额和用大写的金额不一致，以金额高者</w:t>
            </w:r>
          </w:p>
          <w:p w14:paraId="02E23989">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为准。</w:t>
            </w:r>
          </w:p>
          <w:p w14:paraId="30267AA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（3）当单价与数量的乘积与总价不一致时，以单价为准，并修订总价。除非在评标委员会看来单价中有明显的小数点错误，在这种情况下则以所报的合价为准，修改单价。</w:t>
            </w:r>
          </w:p>
          <w:p w14:paraId="0792C7F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（4）按上述原则核定后，按就高不就低原则确定核准价：当核定后的投标价大于原投标价，按核定后的投标价；当核定后的投标价小于原投标价，按原投标价。</w:t>
            </w:r>
          </w:p>
        </w:tc>
      </w:tr>
      <w:tr w14:paraId="61263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7A5AC7B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23</w:t>
            </w:r>
          </w:p>
        </w:tc>
        <w:tc>
          <w:tcPr>
            <w:tcW w:w="1346" w:type="dxa"/>
            <w:shd w:val="clear" w:color="auto" w:fill="auto"/>
            <w:vAlign w:val="center"/>
          </w:tcPr>
          <w:p w14:paraId="55D22C7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费用承担</w:t>
            </w:r>
          </w:p>
        </w:tc>
        <w:tc>
          <w:tcPr>
            <w:tcW w:w="6697" w:type="dxa"/>
            <w:shd w:val="clear" w:color="auto" w:fill="auto"/>
            <w:vAlign w:val="center"/>
          </w:tcPr>
          <w:p w14:paraId="1A5CB71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投标人准备和参加本招标项目投标活动发生的费用自理。</w:t>
            </w:r>
          </w:p>
        </w:tc>
      </w:tr>
      <w:tr w14:paraId="16E2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6D3BE9B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24</w:t>
            </w:r>
          </w:p>
          <w:p w14:paraId="3969D4F3">
            <w:pPr>
              <w:pStyle w:val="2"/>
              <w:widowControl w:val="0"/>
              <w:jc w:val="both"/>
              <w:rPr>
                <w:rFonts w:hint="default"/>
                <w:lang w:val="en-US" w:eastAsia="zh-CN"/>
              </w:rPr>
            </w:pPr>
          </w:p>
        </w:tc>
        <w:tc>
          <w:tcPr>
            <w:tcW w:w="1346" w:type="dxa"/>
            <w:shd w:val="clear" w:color="auto" w:fill="auto"/>
            <w:vAlign w:val="center"/>
          </w:tcPr>
          <w:p w14:paraId="3B7E05E9">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其他</w:t>
            </w:r>
          </w:p>
        </w:tc>
        <w:tc>
          <w:tcPr>
            <w:tcW w:w="6697" w:type="dxa"/>
            <w:shd w:val="clear" w:color="auto" w:fill="auto"/>
            <w:vAlign w:val="top"/>
          </w:tcPr>
          <w:p w14:paraId="68697A4B">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（1）投标人应认真对待投标文件的真实性，投标文件中所附的各种材料不允许有造假行为，一经发现，评标委员会将否决其</w:t>
            </w:r>
          </w:p>
          <w:p w14:paraId="3FC71A2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投标，取消其中标资格；已发出中标通知书的，中标无效。</w:t>
            </w:r>
          </w:p>
          <w:p w14:paraId="1013500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（2）投标人必须按照招标文件规定的清单格式进行报价，除了招标文件清单报价，招标人不再接受其他任何形式的报价说明</w:t>
            </w:r>
          </w:p>
          <w:p w14:paraId="373E9B1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（比如降价函、报价补充说明、优惠报价说明等等）。</w:t>
            </w:r>
          </w:p>
          <w:p w14:paraId="627683F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（3）招标人和评标委员会保留接受或拒绝任何变化、偏离或选择性报价的权力。凡超出招标文件规定的，或使招标人得到未曾要求的效益的变化、偏离、选择性报价或其它因素在评标时</w:t>
            </w:r>
          </w:p>
          <w:p w14:paraId="149B2DF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将不予考虑。</w:t>
            </w:r>
          </w:p>
          <w:p w14:paraId="5BFBC0A9">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（4）不同项目应分别递交投标保证金、递交相应投标文件。</w:t>
            </w:r>
          </w:p>
        </w:tc>
      </w:tr>
    </w:tbl>
    <w:p w14:paraId="3D06A961">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firstLine="0" w:firstLineChars="0"/>
        <w:textAlignment w:val="auto"/>
        <w:rPr>
          <w:rFonts w:hint="eastAsia" w:ascii="仿宋" w:hAnsi="仿宋" w:eastAsia="仿宋" w:cs="仿宋"/>
          <w:b w:val="0"/>
          <w:bCs w:val="0"/>
          <w:color w:val="auto"/>
          <w:sz w:val="28"/>
          <w:szCs w:val="28"/>
          <w:highlight w:val="none"/>
          <w:lang w:val="en-US" w:eastAsia="zh-CN"/>
        </w:rPr>
      </w:pPr>
    </w:p>
    <w:p w14:paraId="5830C39D">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firstLine="0" w:firstLineChars="0"/>
        <w:textAlignment w:val="auto"/>
        <w:outlineLvl w:val="1"/>
        <w:rPr>
          <w:rFonts w:hint="eastAsia" w:ascii="仿宋" w:hAnsi="仿宋" w:eastAsia="仿宋" w:cs="仿宋"/>
          <w:b w:val="0"/>
          <w:bCs w:val="0"/>
          <w:color w:val="auto"/>
          <w:sz w:val="28"/>
          <w:szCs w:val="28"/>
          <w:highlight w:val="none"/>
          <w:lang w:val="en-US" w:eastAsia="zh-CN"/>
        </w:rPr>
      </w:pPr>
      <w:bookmarkStart w:id="1" w:name="_Toc19195"/>
      <w:bookmarkStart w:id="2" w:name="_Toc8572393"/>
      <w:bookmarkStart w:id="3" w:name="_Toc9001120"/>
      <w:r>
        <w:rPr>
          <w:rFonts w:hint="eastAsia" w:ascii="仿宋" w:hAnsi="仿宋" w:eastAsia="仿宋" w:cs="仿宋"/>
          <w:b w:val="0"/>
          <w:bCs w:val="0"/>
          <w:color w:val="auto"/>
          <w:sz w:val="28"/>
          <w:szCs w:val="28"/>
          <w:highlight w:val="none"/>
          <w:lang w:val="en-US" w:eastAsia="zh-CN"/>
        </w:rPr>
        <w:t>二、招标无效、投标无效、中标无效的认定及处理：</w:t>
      </w:r>
      <w:bookmarkEnd w:id="1"/>
    </w:p>
    <w:bookmarkEnd w:id="2"/>
    <w:bookmarkEnd w:id="3"/>
    <w:p w14:paraId="39956640">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1" w:leftChars="0" w:firstLine="560" w:firstLineChars="200"/>
        <w:textAlignment w:val="auto"/>
        <w:rPr>
          <w:rFonts w:hint="eastAsia" w:ascii="仿宋" w:hAnsi="仿宋" w:eastAsia="仿宋" w:cs="仿宋"/>
          <w:b w:val="0"/>
          <w:bCs w:val="0"/>
          <w:color w:val="auto"/>
          <w:sz w:val="28"/>
          <w:szCs w:val="28"/>
          <w:highlight w:val="none"/>
          <w:lang w:val="en-US" w:eastAsia="zh-CN"/>
        </w:rPr>
      </w:pPr>
      <w:bookmarkStart w:id="4" w:name="_Toc8572396"/>
      <w:bookmarkStart w:id="5" w:name="_Toc9001123"/>
      <w:r>
        <w:rPr>
          <w:rFonts w:hint="eastAsia" w:ascii="仿宋" w:hAnsi="仿宋" w:eastAsia="仿宋" w:cs="仿宋"/>
          <w:b w:val="0"/>
          <w:bCs w:val="0"/>
          <w:color w:val="auto"/>
          <w:sz w:val="28"/>
          <w:szCs w:val="28"/>
          <w:highlight w:val="none"/>
          <w:lang w:val="en-US" w:eastAsia="zh-CN"/>
        </w:rPr>
        <w:t>（一）招标无效的情形（包括但不限于）：</w:t>
      </w:r>
      <w:bookmarkEnd w:id="4"/>
      <w:bookmarkEnd w:id="5"/>
    </w:p>
    <w:p w14:paraId="112C2679">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（1）违法发布公告，包括不在指定媒介发布招标公告；</w:t>
      </w:r>
    </w:p>
    <w:p w14:paraId="11CBBE5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（2）未经批准，应当公开招标而邀请招标；</w:t>
      </w:r>
    </w:p>
    <w:p w14:paraId="45D1D3CF">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（3）依法应当公开招标的项目，招标文件发售时间不符合法定要求；</w:t>
      </w:r>
    </w:p>
    <w:p w14:paraId="468CC198">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（4）招标人或者招标代理机构限制排斥潜在投标人；</w:t>
      </w:r>
    </w:p>
    <w:p w14:paraId="4D4B226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（5）招标人或者招标代理机构向他人透露已获取招标文件的潜在投标人的名称、</w:t>
      </w:r>
    </w:p>
    <w:p w14:paraId="71E51F94">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109"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数量或者可能影响公平竞争的有关招投标的其他情况，或者泄露标底；</w:t>
      </w:r>
    </w:p>
    <w:p w14:paraId="7AA4D389">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（6）招标人或者招标代理机构与投标人串通；</w:t>
      </w:r>
    </w:p>
    <w:p w14:paraId="02CD79A1">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（7）招标代理机构在所代理的招标项目中投标或者代理投标。</w:t>
      </w:r>
    </w:p>
    <w:p w14:paraId="676C7480">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上述违法行为，如果在投标截止前发现的，责令改正并顺延投标截止时间。如果在投标截止后被发现和查实，且对中标结果造成实质性影响的，招标无效。如果是在中标通知书发出后被查实且影响中标结果的，中标无效。招标被确认无效的，招标人应当重新招标。    </w:t>
      </w:r>
    </w:p>
    <w:p w14:paraId="5E1D623D">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1" w:leftChars="0" w:firstLine="560" w:firstLineChars="200"/>
        <w:textAlignment w:val="auto"/>
        <w:rPr>
          <w:rFonts w:hint="eastAsia" w:ascii="仿宋" w:hAnsi="仿宋" w:eastAsia="仿宋" w:cs="仿宋"/>
          <w:b w:val="0"/>
          <w:bCs w:val="0"/>
          <w:color w:val="auto"/>
          <w:sz w:val="28"/>
          <w:szCs w:val="28"/>
          <w:highlight w:val="none"/>
          <w:lang w:val="en-US" w:eastAsia="zh-CN"/>
        </w:rPr>
      </w:pPr>
      <w:bookmarkStart w:id="6" w:name="_Toc8572397"/>
      <w:bookmarkStart w:id="7" w:name="_Toc9001124"/>
      <w:r>
        <w:rPr>
          <w:rFonts w:hint="eastAsia" w:ascii="仿宋" w:hAnsi="仿宋" w:eastAsia="仿宋" w:cs="仿宋"/>
          <w:b w:val="0"/>
          <w:bCs w:val="0"/>
          <w:color w:val="auto"/>
          <w:sz w:val="28"/>
          <w:szCs w:val="28"/>
          <w:highlight w:val="none"/>
          <w:lang w:val="en-US" w:eastAsia="zh-CN"/>
        </w:rPr>
        <w:t>（二）投标无效的情形（包括但不限于）：</w:t>
      </w:r>
      <w:bookmarkEnd w:id="6"/>
      <w:bookmarkEnd w:id="7"/>
    </w:p>
    <w:p w14:paraId="61A5F205">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u w:val="single"/>
          <w:lang w:val="en-US" w:eastAsia="zh-CN"/>
        </w:rPr>
        <w:t>与招标人存在利害关系</w:t>
      </w:r>
      <w:r>
        <w:rPr>
          <w:rFonts w:hint="eastAsia" w:ascii="仿宋" w:hAnsi="仿宋" w:eastAsia="仿宋" w:cs="仿宋"/>
          <w:b w:val="0"/>
          <w:bCs w:val="0"/>
          <w:color w:val="auto"/>
          <w:sz w:val="28"/>
          <w:szCs w:val="28"/>
          <w:highlight w:val="none"/>
          <w:lang w:val="en-US" w:eastAsia="zh-CN"/>
        </w:rPr>
        <w:t>可能影响招标公正性的法人、其他组织或者个人参加投标的；</w:t>
      </w:r>
    </w:p>
    <w:p w14:paraId="21D28A9B">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（2）单位负责人为同一人或者存在控股、管理关系的不同单位，参加同一招标项目投标的；</w:t>
      </w:r>
    </w:p>
    <w:p w14:paraId="013CD768">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（3）资格预审后联合体增减、更换成员的（本次招标不涉及联合体招标）；</w:t>
      </w:r>
    </w:p>
    <w:p w14:paraId="117E7E2D">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（4）联合体各方在同一招标项目中以自己名义单独投标或者参加其他联合体投标的（本次招标不涉及联合体招标）；</w:t>
      </w:r>
    </w:p>
    <w:p w14:paraId="50805BF1">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（5）投标人发生合并、分立、破产等重大变化，不再具备资格预审文件、招标文件规定的资格条件或者其投标影响招标公正性的；</w:t>
      </w:r>
    </w:p>
    <w:p w14:paraId="46524B0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（6）投标人相互串通投标或者与招标人串通投标的；</w:t>
      </w:r>
    </w:p>
    <w:p w14:paraId="0F45FC29">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（7）投标人以他人名义投标或者以其他方式弄虚作假，骗取中标的；</w:t>
      </w:r>
    </w:p>
    <w:p w14:paraId="7CC7480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（8）投标人向招标人或者评标委员会成员行贿的；</w:t>
      </w:r>
    </w:p>
    <w:p w14:paraId="0D5F7C7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（9）投标人受到财产被查封、冻结或者被责令停产停业、吊销营业执照、取消投标资格等处罚的其他违法行为；</w:t>
      </w:r>
    </w:p>
    <w:p w14:paraId="341F2AD2">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firstLine="560" w:firstLineChars="200"/>
        <w:textAlignment w:val="auto"/>
        <w:outlineLvl w:val="1"/>
        <w:rPr>
          <w:rFonts w:hint="eastAsia" w:ascii="仿宋" w:hAnsi="仿宋" w:eastAsia="仿宋" w:cs="仿宋"/>
          <w:b w:val="0"/>
          <w:bCs w:val="0"/>
          <w:color w:val="auto"/>
          <w:sz w:val="28"/>
          <w:szCs w:val="28"/>
          <w:highlight w:val="none"/>
          <w:lang w:val="en-US" w:eastAsia="zh-CN"/>
        </w:rPr>
      </w:pPr>
      <w:bookmarkStart w:id="8" w:name="_Toc12529"/>
      <w:bookmarkStart w:id="9" w:name="_Toc12741725"/>
      <w:bookmarkStart w:id="10" w:name="_Toc5029"/>
      <w:bookmarkStart w:id="11" w:name="_Toc27372"/>
      <w:bookmarkStart w:id="12" w:name="_Toc29284426"/>
      <w:bookmarkStart w:id="13" w:name="_Toc13225"/>
      <w:bookmarkStart w:id="14" w:name="_Toc532318007"/>
      <w:bookmarkStart w:id="15" w:name="_Toc8572399"/>
      <w:bookmarkStart w:id="16" w:name="_Toc20325"/>
      <w:bookmarkStart w:id="17" w:name="_Toc9001126"/>
      <w:bookmarkStart w:id="18" w:name="_Toc38791405"/>
      <w:bookmarkStart w:id="19" w:name="_Toc26943"/>
      <w:bookmarkStart w:id="20" w:name="_Toc56412904"/>
      <w:r>
        <w:rPr>
          <w:rFonts w:hint="eastAsia" w:ascii="仿宋" w:hAnsi="仿宋" w:eastAsia="仿宋" w:cs="仿宋"/>
          <w:b w:val="0"/>
          <w:bCs w:val="0"/>
          <w:color w:val="auto"/>
          <w:sz w:val="28"/>
          <w:szCs w:val="28"/>
          <w:highlight w:val="none"/>
          <w:lang w:val="en-US" w:eastAsia="zh-CN"/>
        </w:rPr>
        <w:t>三、不予退还投标保证金的情形：</w:t>
      </w:r>
      <w:bookmarkEnd w:id="8"/>
    </w:p>
    <w:p w14:paraId="21647B8A">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jc w:val="both"/>
        <w:textAlignment w:val="auto"/>
        <w:outlineLvl w:val="1"/>
        <w:rPr>
          <w:rFonts w:hint="eastAsia" w:ascii="仿宋" w:hAnsi="仿宋" w:eastAsia="仿宋" w:cs="仿宋"/>
          <w:b w:val="0"/>
          <w:bCs w:val="0"/>
          <w:color w:val="auto"/>
          <w:sz w:val="28"/>
          <w:szCs w:val="28"/>
          <w:highlight w:val="none"/>
        </w:rPr>
      </w:pPr>
      <w:bookmarkStart w:id="21" w:name="_Toc18108"/>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一</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有下列情形之一的，投标保证金将不予退还：</w:t>
      </w:r>
      <w:bookmarkEnd w:id="21"/>
    </w:p>
    <w:p w14:paraId="7C249166">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）投标截止</w:t>
      </w:r>
      <w:r>
        <w:rPr>
          <w:rFonts w:hint="eastAsia" w:ascii="仿宋" w:hAnsi="仿宋" w:eastAsia="仿宋" w:cs="仿宋"/>
          <w:b w:val="0"/>
          <w:bCs w:val="0"/>
          <w:color w:val="auto"/>
          <w:sz w:val="28"/>
          <w:szCs w:val="28"/>
          <w:highlight w:val="none"/>
          <w:lang w:val="en-US" w:eastAsia="zh-CN"/>
        </w:rPr>
        <w:t>之日后《中标通知书》发出之前，</w:t>
      </w:r>
      <w:r>
        <w:rPr>
          <w:rFonts w:hint="eastAsia" w:ascii="仿宋" w:hAnsi="仿宋" w:eastAsia="仿宋" w:cs="仿宋"/>
          <w:b w:val="0"/>
          <w:bCs w:val="0"/>
          <w:color w:val="auto"/>
          <w:sz w:val="28"/>
          <w:szCs w:val="28"/>
          <w:highlight w:val="none"/>
        </w:rPr>
        <w:t>投标人撤销其投标文件</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vertAlign w:val="baseline"/>
          <w:lang w:val="en-US" w:eastAsia="zh-CN"/>
        </w:rPr>
        <w:t>放弃投标</w:t>
      </w:r>
      <w:r>
        <w:rPr>
          <w:rFonts w:hint="eastAsia" w:ascii="仿宋" w:hAnsi="仿宋" w:eastAsia="仿宋" w:cs="仿宋"/>
          <w:b w:val="0"/>
          <w:bCs w:val="0"/>
          <w:color w:val="auto"/>
          <w:sz w:val="28"/>
          <w:szCs w:val="28"/>
          <w:highlight w:val="none"/>
        </w:rPr>
        <w:t>的；</w:t>
      </w:r>
    </w:p>
    <w:p w14:paraId="645286AF">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投标人有以他人的名义投标、串通投标、弄虚作假、行贿等违法行为的；</w:t>
      </w:r>
    </w:p>
    <w:p w14:paraId="313757AA">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中标人无正当理由不与招标人订立合同</w:t>
      </w:r>
      <w:r>
        <w:rPr>
          <w:rFonts w:hint="eastAsia" w:ascii="仿宋" w:hAnsi="仿宋" w:eastAsia="仿宋" w:cs="仿宋"/>
          <w:b w:val="0"/>
          <w:bCs w:val="0"/>
          <w:color w:val="auto"/>
          <w:sz w:val="28"/>
          <w:szCs w:val="28"/>
          <w:highlight w:val="none"/>
          <w:lang w:val="en-US" w:eastAsia="zh-CN"/>
        </w:rPr>
        <w:t>和安全协议书或未在规定时间内</w:t>
      </w:r>
      <w:r>
        <w:rPr>
          <w:rFonts w:hint="eastAsia" w:ascii="仿宋" w:hAnsi="仿宋" w:eastAsia="仿宋" w:cs="仿宋"/>
          <w:b w:val="0"/>
          <w:bCs w:val="0"/>
          <w:color w:val="auto"/>
          <w:sz w:val="28"/>
          <w:szCs w:val="28"/>
          <w:highlight w:val="none"/>
        </w:rPr>
        <w:t>与招标人订立合同</w:t>
      </w:r>
      <w:r>
        <w:rPr>
          <w:rFonts w:hint="eastAsia" w:ascii="仿宋" w:hAnsi="仿宋" w:eastAsia="仿宋" w:cs="仿宋"/>
          <w:b w:val="0"/>
          <w:bCs w:val="0"/>
          <w:color w:val="auto"/>
          <w:sz w:val="28"/>
          <w:szCs w:val="28"/>
          <w:highlight w:val="none"/>
          <w:lang w:val="en-US" w:eastAsia="zh-CN"/>
        </w:rPr>
        <w:t>和安全协议书</w:t>
      </w:r>
      <w:r>
        <w:rPr>
          <w:rFonts w:hint="eastAsia" w:ascii="仿宋" w:hAnsi="仿宋" w:eastAsia="仿宋" w:cs="仿宋"/>
          <w:b w:val="0"/>
          <w:bCs w:val="0"/>
          <w:color w:val="auto"/>
          <w:sz w:val="28"/>
          <w:szCs w:val="28"/>
          <w:highlight w:val="none"/>
        </w:rPr>
        <w:t>的；</w:t>
      </w:r>
    </w:p>
    <w:p w14:paraId="7D241DA3">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4</w:t>
      </w:r>
      <w:r>
        <w:rPr>
          <w:rFonts w:hint="eastAsia" w:ascii="仿宋" w:hAnsi="仿宋" w:eastAsia="仿宋" w:cs="仿宋"/>
          <w:b w:val="0"/>
          <w:bCs w:val="0"/>
          <w:color w:val="auto"/>
          <w:sz w:val="28"/>
          <w:szCs w:val="28"/>
          <w:highlight w:val="none"/>
        </w:rPr>
        <w:t>）中标人在签订合同</w:t>
      </w:r>
      <w:r>
        <w:rPr>
          <w:rFonts w:hint="eastAsia" w:ascii="仿宋" w:hAnsi="仿宋" w:eastAsia="仿宋" w:cs="仿宋"/>
          <w:b w:val="0"/>
          <w:bCs w:val="0"/>
          <w:color w:val="auto"/>
          <w:sz w:val="28"/>
          <w:szCs w:val="28"/>
          <w:highlight w:val="none"/>
          <w:lang w:val="en-US" w:eastAsia="zh-CN"/>
        </w:rPr>
        <w:t>和安全协议书</w:t>
      </w:r>
      <w:r>
        <w:rPr>
          <w:rFonts w:hint="eastAsia" w:ascii="仿宋" w:hAnsi="仿宋" w:eastAsia="仿宋" w:cs="仿宋"/>
          <w:b w:val="0"/>
          <w:bCs w:val="0"/>
          <w:color w:val="auto"/>
          <w:sz w:val="28"/>
          <w:szCs w:val="28"/>
          <w:highlight w:val="none"/>
        </w:rPr>
        <w:t>时向招标人提出附加条件的；</w:t>
      </w:r>
    </w:p>
    <w:p w14:paraId="2F7044A5">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5</w:t>
      </w:r>
      <w:r>
        <w:rPr>
          <w:rFonts w:hint="eastAsia" w:ascii="仿宋" w:hAnsi="仿宋" w:eastAsia="仿宋" w:cs="仿宋"/>
          <w:b w:val="0"/>
          <w:bCs w:val="0"/>
          <w:color w:val="auto"/>
          <w:sz w:val="28"/>
          <w:szCs w:val="28"/>
          <w:highlight w:val="none"/>
        </w:rPr>
        <w:t>）中标人不按照招标文件要求提交履约保证金的</w:t>
      </w:r>
      <w:r>
        <w:rPr>
          <w:rFonts w:hint="eastAsia" w:ascii="仿宋" w:hAnsi="仿宋" w:eastAsia="仿宋" w:cs="仿宋"/>
          <w:b w:val="0"/>
          <w:bCs w:val="0"/>
          <w:color w:val="auto"/>
          <w:sz w:val="28"/>
          <w:szCs w:val="28"/>
          <w:highlight w:val="none"/>
          <w:lang w:eastAsia="zh-CN"/>
        </w:rPr>
        <w:t>；</w:t>
      </w:r>
    </w:p>
    <w:p w14:paraId="75309F3E">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6</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中标人</w:t>
      </w:r>
      <w:r>
        <w:rPr>
          <w:rFonts w:hint="eastAsia" w:ascii="仿宋" w:hAnsi="仿宋" w:eastAsia="仿宋" w:cs="仿宋"/>
          <w:b w:val="0"/>
          <w:bCs w:val="0"/>
          <w:color w:val="auto"/>
          <w:sz w:val="28"/>
          <w:szCs w:val="28"/>
          <w:highlight w:val="none"/>
          <w:lang w:val="en-US" w:eastAsia="zh-CN"/>
        </w:rPr>
        <w:t>收到《中标通知书》</w:t>
      </w:r>
      <w:r>
        <w:rPr>
          <w:rFonts w:hint="eastAsia" w:ascii="仿宋" w:hAnsi="仿宋" w:eastAsia="仿宋" w:cs="仿宋"/>
          <w:b w:val="0"/>
          <w:bCs w:val="0"/>
          <w:color w:val="auto"/>
          <w:sz w:val="28"/>
          <w:szCs w:val="28"/>
          <w:highlight w:val="none"/>
        </w:rPr>
        <w:t>后</w:t>
      </w:r>
      <w:r>
        <w:rPr>
          <w:rFonts w:hint="eastAsia" w:ascii="仿宋" w:hAnsi="仿宋" w:eastAsia="仿宋" w:cs="仿宋"/>
          <w:b w:val="0"/>
          <w:bCs w:val="0"/>
          <w:color w:val="auto"/>
          <w:sz w:val="28"/>
          <w:szCs w:val="28"/>
          <w:highlight w:val="none"/>
          <w:lang w:val="en-US" w:eastAsia="zh-CN"/>
        </w:rPr>
        <w:t>放弃中标或者被认定为中标无效的</w:t>
      </w:r>
      <w:r>
        <w:rPr>
          <w:rFonts w:hint="eastAsia" w:ascii="仿宋" w:hAnsi="仿宋" w:eastAsia="仿宋" w:cs="仿宋"/>
          <w:b w:val="0"/>
          <w:bCs w:val="0"/>
          <w:color w:val="auto"/>
          <w:sz w:val="28"/>
          <w:szCs w:val="28"/>
          <w:highlight w:val="none"/>
        </w:rPr>
        <w:t>。</w:t>
      </w:r>
    </w:p>
    <w:p w14:paraId="1025A9CC">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有以上（3）-（6）的情形的，招标人有权取消其中标资格</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因此给</w:t>
      </w:r>
      <w:r>
        <w:rPr>
          <w:rFonts w:hint="eastAsia" w:ascii="仿宋" w:hAnsi="仿宋" w:eastAsia="仿宋" w:cs="仿宋"/>
          <w:b w:val="0"/>
          <w:bCs w:val="0"/>
          <w:color w:val="auto"/>
          <w:sz w:val="28"/>
          <w:szCs w:val="28"/>
          <w:highlight w:val="none"/>
          <w:lang w:eastAsia="zh-CN"/>
        </w:rPr>
        <w:t>招标人</w:t>
      </w:r>
      <w:r>
        <w:rPr>
          <w:rFonts w:hint="eastAsia" w:ascii="仿宋" w:hAnsi="仿宋" w:eastAsia="仿宋" w:cs="仿宋"/>
          <w:b w:val="0"/>
          <w:bCs w:val="0"/>
          <w:color w:val="auto"/>
          <w:sz w:val="28"/>
          <w:szCs w:val="28"/>
          <w:highlight w:val="none"/>
          <w:lang w:val="en-US" w:eastAsia="zh-CN"/>
        </w:rPr>
        <w:t>造成</w:t>
      </w:r>
      <w:r>
        <w:rPr>
          <w:rFonts w:hint="eastAsia" w:ascii="仿宋" w:hAnsi="仿宋" w:eastAsia="仿宋" w:cs="仿宋"/>
          <w:b w:val="0"/>
          <w:bCs w:val="0"/>
          <w:color w:val="auto"/>
          <w:sz w:val="28"/>
          <w:szCs w:val="28"/>
          <w:highlight w:val="none"/>
          <w:lang w:eastAsia="zh-CN"/>
        </w:rPr>
        <w:t>损失的，应当</w:t>
      </w:r>
      <w:r>
        <w:rPr>
          <w:rFonts w:hint="eastAsia" w:ascii="仿宋" w:hAnsi="仿宋" w:eastAsia="仿宋" w:cs="仿宋"/>
          <w:b w:val="0"/>
          <w:bCs w:val="0"/>
          <w:color w:val="auto"/>
          <w:sz w:val="28"/>
          <w:szCs w:val="28"/>
          <w:highlight w:val="none"/>
          <w:lang w:val="en-US" w:eastAsia="zh-CN"/>
        </w:rPr>
        <w:t>全部</w:t>
      </w:r>
      <w:r>
        <w:rPr>
          <w:rFonts w:hint="eastAsia" w:ascii="仿宋" w:hAnsi="仿宋" w:eastAsia="仿宋" w:cs="仿宋"/>
          <w:b w:val="0"/>
          <w:bCs w:val="0"/>
          <w:color w:val="auto"/>
          <w:sz w:val="28"/>
          <w:szCs w:val="28"/>
          <w:highlight w:val="none"/>
          <w:lang w:eastAsia="zh-CN"/>
        </w:rPr>
        <w:t>赔偿。</w:t>
      </w:r>
    </w:p>
    <w:bookmarkEnd w:id="9"/>
    <w:bookmarkEnd w:id="10"/>
    <w:bookmarkEnd w:id="11"/>
    <w:bookmarkEnd w:id="12"/>
    <w:bookmarkEnd w:id="13"/>
    <w:bookmarkEnd w:id="14"/>
    <w:bookmarkEnd w:id="15"/>
    <w:bookmarkEnd w:id="16"/>
    <w:bookmarkEnd w:id="17"/>
    <w:bookmarkEnd w:id="18"/>
    <w:bookmarkEnd w:id="19"/>
    <w:bookmarkEnd w:id="20"/>
    <w:p w14:paraId="4B6F116B">
      <w:pPr>
        <w:pStyle w:val="2"/>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val="en-US" w:eastAsia="zh-CN"/>
        </w:rPr>
      </w:pPr>
    </w:p>
    <w:p w14:paraId="7E905C50">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outlineLvl w:val="0"/>
        <w:rPr>
          <w:rFonts w:hint="eastAsia" w:ascii="仿宋" w:hAnsi="仿宋" w:eastAsia="仿宋" w:cs="仿宋"/>
          <w:b w:val="0"/>
          <w:bCs w:val="0"/>
          <w:color w:val="auto"/>
          <w:sz w:val="28"/>
          <w:szCs w:val="28"/>
          <w:highlight w:val="none"/>
          <w:lang w:val="en-US" w:eastAsia="zh-CN"/>
        </w:rPr>
      </w:pPr>
      <w:bookmarkStart w:id="22" w:name="_Toc6386"/>
      <w:r>
        <w:rPr>
          <w:rFonts w:hint="eastAsia" w:ascii="仿宋" w:hAnsi="仿宋" w:eastAsia="仿宋" w:cs="仿宋"/>
          <w:b w:val="0"/>
          <w:bCs w:val="0"/>
          <w:color w:val="auto"/>
          <w:sz w:val="28"/>
          <w:szCs w:val="28"/>
          <w:highlight w:val="none"/>
          <w:lang w:val="en-US" w:eastAsia="zh-CN"/>
        </w:rPr>
        <w:t>四、投标文件附件</w:t>
      </w:r>
      <w:bookmarkEnd w:id="22"/>
    </w:p>
    <w:p w14:paraId="03FFCCCE">
      <w:pPr>
        <w:keepNext w:val="0"/>
        <w:keepLines w:val="0"/>
        <w:pageBreakBefore w:val="0"/>
        <w:numPr>
          <w:ilvl w:val="0"/>
          <w:numId w:val="0"/>
        </w:numPr>
        <w:kinsoku/>
        <w:wordWrap/>
        <w:overflowPunct/>
        <w:topLinePunct w:val="0"/>
        <w:autoSpaceDE/>
        <w:autoSpaceDN/>
        <w:bidi w:val="0"/>
        <w:adjustRightInd w:val="0"/>
        <w:snapToGrid w:val="0"/>
        <w:spacing w:line="360" w:lineRule="exact"/>
        <w:ind w:firstLine="560" w:firstLineChars="200"/>
        <w:textAlignment w:val="auto"/>
        <w:outlineLvl w:val="0"/>
        <w:rPr>
          <w:rFonts w:hint="eastAsia" w:ascii="仿宋" w:hAnsi="仿宋" w:eastAsia="仿宋" w:cs="仿宋"/>
          <w:b w:val="0"/>
          <w:bCs w:val="0"/>
          <w:color w:val="auto"/>
          <w:sz w:val="28"/>
          <w:szCs w:val="28"/>
          <w:highlight w:val="none"/>
          <w:lang w:val="en-US" w:eastAsia="zh-CN"/>
        </w:rPr>
      </w:pPr>
      <w:bookmarkStart w:id="23" w:name="_Toc13893"/>
      <w:r>
        <w:rPr>
          <w:rFonts w:hint="eastAsia" w:ascii="仿宋" w:hAnsi="仿宋" w:eastAsia="仿宋" w:cs="仿宋"/>
          <w:b w:val="0"/>
          <w:bCs w:val="0"/>
          <w:color w:val="auto"/>
          <w:sz w:val="28"/>
          <w:szCs w:val="28"/>
          <w:highlight w:val="none"/>
          <w:lang w:val="en-US" w:eastAsia="zh-CN"/>
        </w:rPr>
        <w:t>附件1：法定代表人身份证明；</w:t>
      </w:r>
      <w:bookmarkEnd w:id="23"/>
    </w:p>
    <w:p w14:paraId="2318B4A3">
      <w:pPr>
        <w:keepNext w:val="0"/>
        <w:keepLines w:val="0"/>
        <w:pageBreakBefore w:val="0"/>
        <w:numPr>
          <w:ilvl w:val="0"/>
          <w:numId w:val="0"/>
        </w:numPr>
        <w:kinsoku/>
        <w:wordWrap/>
        <w:overflowPunct/>
        <w:topLinePunct w:val="0"/>
        <w:autoSpaceDE/>
        <w:autoSpaceDN/>
        <w:bidi w:val="0"/>
        <w:adjustRightInd w:val="0"/>
        <w:snapToGrid w:val="0"/>
        <w:spacing w:line="360" w:lineRule="exact"/>
        <w:ind w:firstLine="560" w:firstLineChars="200"/>
        <w:textAlignment w:val="auto"/>
        <w:outlineLvl w:val="0"/>
        <w:rPr>
          <w:rFonts w:hint="eastAsia" w:ascii="仿宋" w:hAnsi="仿宋" w:eastAsia="仿宋" w:cs="仿宋"/>
          <w:b w:val="0"/>
          <w:bCs w:val="0"/>
          <w:color w:val="auto"/>
          <w:sz w:val="28"/>
          <w:szCs w:val="28"/>
          <w:highlight w:val="none"/>
          <w:lang w:val="en-US" w:eastAsia="zh-CN"/>
        </w:rPr>
      </w:pPr>
      <w:bookmarkStart w:id="24" w:name="_Toc6652"/>
      <w:r>
        <w:rPr>
          <w:rFonts w:hint="eastAsia" w:ascii="仿宋" w:hAnsi="仿宋" w:eastAsia="仿宋" w:cs="仿宋"/>
          <w:b w:val="0"/>
          <w:bCs w:val="0"/>
          <w:color w:val="auto"/>
          <w:sz w:val="28"/>
          <w:szCs w:val="28"/>
          <w:highlight w:val="none"/>
          <w:lang w:val="en-US" w:eastAsia="zh-CN"/>
        </w:rPr>
        <w:t>附件2：授权委托书；</w:t>
      </w:r>
      <w:bookmarkEnd w:id="24"/>
    </w:p>
    <w:p w14:paraId="4B935275">
      <w:pPr>
        <w:keepNext w:val="0"/>
        <w:keepLines w:val="0"/>
        <w:pageBreakBefore w:val="0"/>
        <w:numPr>
          <w:ilvl w:val="0"/>
          <w:numId w:val="0"/>
        </w:numPr>
        <w:kinsoku/>
        <w:wordWrap/>
        <w:overflowPunct/>
        <w:topLinePunct w:val="0"/>
        <w:autoSpaceDE/>
        <w:autoSpaceDN/>
        <w:bidi w:val="0"/>
        <w:adjustRightInd w:val="0"/>
        <w:snapToGrid w:val="0"/>
        <w:spacing w:line="360" w:lineRule="exact"/>
        <w:ind w:firstLine="560" w:firstLineChars="200"/>
        <w:textAlignment w:val="auto"/>
        <w:outlineLvl w:val="0"/>
        <w:rPr>
          <w:rFonts w:hint="eastAsia" w:ascii="仿宋" w:hAnsi="仿宋" w:eastAsia="仿宋" w:cs="仿宋"/>
          <w:b w:val="0"/>
          <w:bCs w:val="0"/>
          <w:color w:val="auto"/>
          <w:sz w:val="28"/>
          <w:szCs w:val="28"/>
          <w:highlight w:val="none"/>
          <w:lang w:val="en-US" w:eastAsia="zh-CN"/>
        </w:rPr>
      </w:pPr>
      <w:bookmarkStart w:id="25" w:name="_Toc30"/>
      <w:r>
        <w:rPr>
          <w:rFonts w:hint="eastAsia" w:ascii="仿宋" w:hAnsi="仿宋" w:eastAsia="仿宋" w:cs="仿宋"/>
          <w:b w:val="0"/>
          <w:bCs w:val="0"/>
          <w:color w:val="auto"/>
          <w:sz w:val="28"/>
          <w:szCs w:val="28"/>
          <w:highlight w:val="none"/>
          <w:lang w:val="en-US" w:eastAsia="zh-CN"/>
        </w:rPr>
        <w:t>附件3：财务情况表；</w:t>
      </w:r>
      <w:bookmarkEnd w:id="25"/>
    </w:p>
    <w:p w14:paraId="5DA21C83">
      <w:pPr>
        <w:pStyle w:val="2"/>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附件4：分项报价表（含最低投标价）；</w:t>
      </w:r>
    </w:p>
    <w:p w14:paraId="19E24310">
      <w:pPr>
        <w:pStyle w:val="2"/>
        <w:outlineLvl w:val="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附件5：近年完成的类似项目情况表。</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40"/>
      </w:pPr>
      <w:r>
        <w:separator/>
      </w:r>
    </w:p>
  </w:endnote>
  <w:endnote w:type="continuationSeparator" w:id="1">
    <w:p>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42BD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72A53">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D72A53">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ind w:firstLine="440"/>
      </w:pPr>
      <w:r>
        <w:separator/>
      </w:r>
    </w:p>
  </w:footnote>
  <w:footnote w:type="continuationSeparator" w:id="1">
    <w:p>
      <w:pPr>
        <w:spacing w:before="0" w:after="0"/>
        <w:ind w:firstLine="4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63932"/>
    <w:multiLevelType w:val="singleLevel"/>
    <w:tmpl w:val="AF763932"/>
    <w:lvl w:ilvl="0" w:tentative="0">
      <w:start w:val="1"/>
      <w:numFmt w:val="decimal"/>
      <w:suff w:val="nothing"/>
      <w:lvlText w:val="（%1）"/>
      <w:lvlJc w:val="left"/>
      <w:pPr>
        <w:ind w:left="-200"/>
      </w:pPr>
    </w:lvl>
  </w:abstractNum>
  <w:abstractNum w:abstractNumId="1">
    <w:nsid w:val="C69A69C8"/>
    <w:multiLevelType w:val="singleLevel"/>
    <w:tmpl w:val="C69A69C8"/>
    <w:lvl w:ilvl="0" w:tentative="0">
      <w:start w:val="1"/>
      <w:numFmt w:val="decimal"/>
      <w:suff w:val="nothing"/>
      <w:lvlText w:val="（%1）"/>
      <w:lvlJc w:val="left"/>
      <w:pPr>
        <w:ind w:left="-2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2UwYzhjMDdkMDJiNzlmMDQ5NDcyMTczYzhlZTMifQ=="/>
  </w:docVars>
  <w:rsids>
    <w:rsidRoot w:val="237C7F45"/>
    <w:rsid w:val="002476F3"/>
    <w:rsid w:val="00D35503"/>
    <w:rsid w:val="012C5BFF"/>
    <w:rsid w:val="03D9712A"/>
    <w:rsid w:val="048266FB"/>
    <w:rsid w:val="04DA42DE"/>
    <w:rsid w:val="05BD6F8F"/>
    <w:rsid w:val="05F53B57"/>
    <w:rsid w:val="06762CB3"/>
    <w:rsid w:val="06A15FE6"/>
    <w:rsid w:val="06D5093D"/>
    <w:rsid w:val="07302A71"/>
    <w:rsid w:val="0793435A"/>
    <w:rsid w:val="087C50E2"/>
    <w:rsid w:val="09BF099D"/>
    <w:rsid w:val="09DD5002"/>
    <w:rsid w:val="0B3632ED"/>
    <w:rsid w:val="0C285DC9"/>
    <w:rsid w:val="0C2A5CE1"/>
    <w:rsid w:val="0C2B5509"/>
    <w:rsid w:val="0D4F5EF3"/>
    <w:rsid w:val="0D6B4314"/>
    <w:rsid w:val="0D704C94"/>
    <w:rsid w:val="0D9A2E43"/>
    <w:rsid w:val="0DA06B56"/>
    <w:rsid w:val="0DF13DA1"/>
    <w:rsid w:val="0E8B2A2C"/>
    <w:rsid w:val="0EE20B12"/>
    <w:rsid w:val="0F572FFD"/>
    <w:rsid w:val="1021564D"/>
    <w:rsid w:val="107A56EA"/>
    <w:rsid w:val="10A77916"/>
    <w:rsid w:val="117C500D"/>
    <w:rsid w:val="11AF5A73"/>
    <w:rsid w:val="127D3343"/>
    <w:rsid w:val="12A56A47"/>
    <w:rsid w:val="13144FF5"/>
    <w:rsid w:val="13A35A5E"/>
    <w:rsid w:val="145B4059"/>
    <w:rsid w:val="14792F00"/>
    <w:rsid w:val="149C3BE3"/>
    <w:rsid w:val="14C803E9"/>
    <w:rsid w:val="14DA0DAA"/>
    <w:rsid w:val="14EC447B"/>
    <w:rsid w:val="154279CE"/>
    <w:rsid w:val="15AA7221"/>
    <w:rsid w:val="15CD7051"/>
    <w:rsid w:val="1796247C"/>
    <w:rsid w:val="17D32D00"/>
    <w:rsid w:val="193261D5"/>
    <w:rsid w:val="196B214B"/>
    <w:rsid w:val="198729C4"/>
    <w:rsid w:val="19B32AB5"/>
    <w:rsid w:val="1A340FA4"/>
    <w:rsid w:val="1A350962"/>
    <w:rsid w:val="1A5303ED"/>
    <w:rsid w:val="1A5B79AD"/>
    <w:rsid w:val="1AB36B84"/>
    <w:rsid w:val="1AE906E0"/>
    <w:rsid w:val="1B0A3294"/>
    <w:rsid w:val="1B633925"/>
    <w:rsid w:val="1B6D3477"/>
    <w:rsid w:val="1B7E50D8"/>
    <w:rsid w:val="1BC57427"/>
    <w:rsid w:val="1BFA06A5"/>
    <w:rsid w:val="1C0A6C02"/>
    <w:rsid w:val="1CDD2398"/>
    <w:rsid w:val="1CFF46A4"/>
    <w:rsid w:val="1D4B42CE"/>
    <w:rsid w:val="1E447672"/>
    <w:rsid w:val="1EB51D82"/>
    <w:rsid w:val="207376E8"/>
    <w:rsid w:val="20CB0FBA"/>
    <w:rsid w:val="20FD15A0"/>
    <w:rsid w:val="210525E3"/>
    <w:rsid w:val="21D14472"/>
    <w:rsid w:val="22F54732"/>
    <w:rsid w:val="23766755"/>
    <w:rsid w:val="237C7F45"/>
    <w:rsid w:val="23C43C5E"/>
    <w:rsid w:val="23C80EDF"/>
    <w:rsid w:val="23DC7EA8"/>
    <w:rsid w:val="248E769B"/>
    <w:rsid w:val="24B32817"/>
    <w:rsid w:val="24E91576"/>
    <w:rsid w:val="257038D2"/>
    <w:rsid w:val="25B35A39"/>
    <w:rsid w:val="25D858CA"/>
    <w:rsid w:val="25F14700"/>
    <w:rsid w:val="26497962"/>
    <w:rsid w:val="265B443C"/>
    <w:rsid w:val="270D0828"/>
    <w:rsid w:val="272A0EA7"/>
    <w:rsid w:val="274E717C"/>
    <w:rsid w:val="27C6059B"/>
    <w:rsid w:val="27D659EE"/>
    <w:rsid w:val="28295DA8"/>
    <w:rsid w:val="29741E24"/>
    <w:rsid w:val="29EE5AA2"/>
    <w:rsid w:val="2AB62BD1"/>
    <w:rsid w:val="2B48675C"/>
    <w:rsid w:val="2B4B1002"/>
    <w:rsid w:val="2BDF6C02"/>
    <w:rsid w:val="2C1326CF"/>
    <w:rsid w:val="2D0348C4"/>
    <w:rsid w:val="2D2D298E"/>
    <w:rsid w:val="2DD53E0C"/>
    <w:rsid w:val="2E222864"/>
    <w:rsid w:val="2E554EA6"/>
    <w:rsid w:val="2F325423"/>
    <w:rsid w:val="2F6E1D34"/>
    <w:rsid w:val="2FEC3715"/>
    <w:rsid w:val="2FFE17B1"/>
    <w:rsid w:val="30450A8C"/>
    <w:rsid w:val="30A63006"/>
    <w:rsid w:val="30AC0821"/>
    <w:rsid w:val="30D7474A"/>
    <w:rsid w:val="316A07AA"/>
    <w:rsid w:val="317207CF"/>
    <w:rsid w:val="317433D6"/>
    <w:rsid w:val="31AC0DC2"/>
    <w:rsid w:val="31CD6105"/>
    <w:rsid w:val="32387268"/>
    <w:rsid w:val="32B52362"/>
    <w:rsid w:val="32D21DFD"/>
    <w:rsid w:val="33091B17"/>
    <w:rsid w:val="33105FBB"/>
    <w:rsid w:val="332018E0"/>
    <w:rsid w:val="33457707"/>
    <w:rsid w:val="337B6A07"/>
    <w:rsid w:val="33E37C58"/>
    <w:rsid w:val="344E619C"/>
    <w:rsid w:val="347F6576"/>
    <w:rsid w:val="34A314F9"/>
    <w:rsid w:val="35A85448"/>
    <w:rsid w:val="35E84393"/>
    <w:rsid w:val="36F81E3D"/>
    <w:rsid w:val="370C123D"/>
    <w:rsid w:val="375B35D8"/>
    <w:rsid w:val="37604D67"/>
    <w:rsid w:val="379C0899"/>
    <w:rsid w:val="37C347BC"/>
    <w:rsid w:val="386D2175"/>
    <w:rsid w:val="386E1925"/>
    <w:rsid w:val="38705D92"/>
    <w:rsid w:val="38A8605B"/>
    <w:rsid w:val="39535FC7"/>
    <w:rsid w:val="3A18665E"/>
    <w:rsid w:val="3AA831AF"/>
    <w:rsid w:val="3ABB57E2"/>
    <w:rsid w:val="3AD10985"/>
    <w:rsid w:val="3B4429EB"/>
    <w:rsid w:val="3BE711E3"/>
    <w:rsid w:val="3C677755"/>
    <w:rsid w:val="3CEC78A0"/>
    <w:rsid w:val="3D0D43BC"/>
    <w:rsid w:val="3DA037A5"/>
    <w:rsid w:val="3E717806"/>
    <w:rsid w:val="3F856DF7"/>
    <w:rsid w:val="3FA44006"/>
    <w:rsid w:val="401E03B0"/>
    <w:rsid w:val="409C1CB1"/>
    <w:rsid w:val="41A81EC9"/>
    <w:rsid w:val="425070DC"/>
    <w:rsid w:val="432C27BF"/>
    <w:rsid w:val="435264F8"/>
    <w:rsid w:val="4359067E"/>
    <w:rsid w:val="439F6030"/>
    <w:rsid w:val="43BA7072"/>
    <w:rsid w:val="44A91191"/>
    <w:rsid w:val="452B268D"/>
    <w:rsid w:val="459A6243"/>
    <w:rsid w:val="45A836C5"/>
    <w:rsid w:val="468C6F78"/>
    <w:rsid w:val="47020241"/>
    <w:rsid w:val="47666DAC"/>
    <w:rsid w:val="47846A1C"/>
    <w:rsid w:val="47A0720C"/>
    <w:rsid w:val="47D40997"/>
    <w:rsid w:val="47F41D83"/>
    <w:rsid w:val="484B50E6"/>
    <w:rsid w:val="489F3A56"/>
    <w:rsid w:val="497D7816"/>
    <w:rsid w:val="4B7D6E26"/>
    <w:rsid w:val="4BD32FDD"/>
    <w:rsid w:val="4C1710D6"/>
    <w:rsid w:val="4C227F93"/>
    <w:rsid w:val="4CCC4BE9"/>
    <w:rsid w:val="4CD1365E"/>
    <w:rsid w:val="4DD47AE1"/>
    <w:rsid w:val="4DEC3685"/>
    <w:rsid w:val="4F5269CF"/>
    <w:rsid w:val="4FA85319"/>
    <w:rsid w:val="50332FE1"/>
    <w:rsid w:val="50A43C3C"/>
    <w:rsid w:val="51AA543B"/>
    <w:rsid w:val="52184841"/>
    <w:rsid w:val="523B4575"/>
    <w:rsid w:val="539211CB"/>
    <w:rsid w:val="53AB4F0D"/>
    <w:rsid w:val="545D0DE9"/>
    <w:rsid w:val="55195EBF"/>
    <w:rsid w:val="55AF0E23"/>
    <w:rsid w:val="55C123E7"/>
    <w:rsid w:val="56953F88"/>
    <w:rsid w:val="57B74DD8"/>
    <w:rsid w:val="57C80B78"/>
    <w:rsid w:val="58A14202"/>
    <w:rsid w:val="58DA5004"/>
    <w:rsid w:val="594A4899"/>
    <w:rsid w:val="5A020A23"/>
    <w:rsid w:val="5A17336B"/>
    <w:rsid w:val="5AB635DB"/>
    <w:rsid w:val="5B1E19ED"/>
    <w:rsid w:val="5B2D13A4"/>
    <w:rsid w:val="5B4938D5"/>
    <w:rsid w:val="5BFA29FA"/>
    <w:rsid w:val="5C3D14AF"/>
    <w:rsid w:val="5C427641"/>
    <w:rsid w:val="5C545A2F"/>
    <w:rsid w:val="5CB10FE2"/>
    <w:rsid w:val="5CB95046"/>
    <w:rsid w:val="5D920918"/>
    <w:rsid w:val="5D9A106F"/>
    <w:rsid w:val="5E4935BF"/>
    <w:rsid w:val="5E884785"/>
    <w:rsid w:val="5EB74F45"/>
    <w:rsid w:val="5EEC39E2"/>
    <w:rsid w:val="5F2D1718"/>
    <w:rsid w:val="5F555D46"/>
    <w:rsid w:val="5FE64D20"/>
    <w:rsid w:val="5FF2302B"/>
    <w:rsid w:val="60606C05"/>
    <w:rsid w:val="60F65950"/>
    <w:rsid w:val="613B0F6B"/>
    <w:rsid w:val="61772C87"/>
    <w:rsid w:val="61D67CE4"/>
    <w:rsid w:val="624A4C04"/>
    <w:rsid w:val="6354134D"/>
    <w:rsid w:val="63F5745A"/>
    <w:rsid w:val="646F0B80"/>
    <w:rsid w:val="64C137EB"/>
    <w:rsid w:val="64D04DAE"/>
    <w:rsid w:val="64ED275C"/>
    <w:rsid w:val="65E03087"/>
    <w:rsid w:val="66B55DAE"/>
    <w:rsid w:val="670A0786"/>
    <w:rsid w:val="67147E1B"/>
    <w:rsid w:val="67C73E24"/>
    <w:rsid w:val="67E01E49"/>
    <w:rsid w:val="681F3E39"/>
    <w:rsid w:val="68233B70"/>
    <w:rsid w:val="69112B68"/>
    <w:rsid w:val="6A092961"/>
    <w:rsid w:val="6A097E59"/>
    <w:rsid w:val="6AB02EF4"/>
    <w:rsid w:val="6ADF750B"/>
    <w:rsid w:val="6B136E0C"/>
    <w:rsid w:val="6BDD6AD6"/>
    <w:rsid w:val="6C156905"/>
    <w:rsid w:val="6CA77594"/>
    <w:rsid w:val="6D68758C"/>
    <w:rsid w:val="6DD95D94"/>
    <w:rsid w:val="6E90473F"/>
    <w:rsid w:val="6F6F4C02"/>
    <w:rsid w:val="71070C41"/>
    <w:rsid w:val="726E11A1"/>
    <w:rsid w:val="732D1974"/>
    <w:rsid w:val="736F3516"/>
    <w:rsid w:val="73AE0A92"/>
    <w:rsid w:val="747D5DAB"/>
    <w:rsid w:val="749039ED"/>
    <w:rsid w:val="74D95477"/>
    <w:rsid w:val="74E97688"/>
    <w:rsid w:val="75113249"/>
    <w:rsid w:val="752F1A02"/>
    <w:rsid w:val="761A17E2"/>
    <w:rsid w:val="76574392"/>
    <w:rsid w:val="76B25B22"/>
    <w:rsid w:val="770B7EC4"/>
    <w:rsid w:val="77212C85"/>
    <w:rsid w:val="772D63B4"/>
    <w:rsid w:val="773A01F2"/>
    <w:rsid w:val="77680868"/>
    <w:rsid w:val="778F6531"/>
    <w:rsid w:val="787E0C79"/>
    <w:rsid w:val="78915BE9"/>
    <w:rsid w:val="79F205CB"/>
    <w:rsid w:val="7A3C60BD"/>
    <w:rsid w:val="7B8C5067"/>
    <w:rsid w:val="7BA233AE"/>
    <w:rsid w:val="7C805B2D"/>
    <w:rsid w:val="7C9041D0"/>
    <w:rsid w:val="7CD91D76"/>
    <w:rsid w:val="7CFB260C"/>
    <w:rsid w:val="7D443276"/>
    <w:rsid w:val="7D504566"/>
    <w:rsid w:val="7D917925"/>
    <w:rsid w:val="7DF43C9A"/>
    <w:rsid w:val="7DFD0B6F"/>
    <w:rsid w:val="7E6B15DD"/>
    <w:rsid w:val="7E784D74"/>
    <w:rsid w:val="7F052E8D"/>
    <w:rsid w:val="7F323556"/>
    <w:rsid w:val="7F446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ind w:firstLine="200" w:firstLineChars="200"/>
    </w:pPr>
    <w:rPr>
      <w:rFonts w:ascii="Tahoma" w:hAnsi="Tahoma" w:eastAsia="微软雅黑" w:cstheme="minorBidi"/>
      <w:sz w:val="22"/>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Body Text 3"/>
    <w:basedOn w:val="1"/>
    <w:qFormat/>
    <w:uiPriority w:val="0"/>
    <w:rPr>
      <w:rFonts w:ascii="宋体" w:hAnsi="Calibri"/>
      <w:sz w:val="2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ind w:firstLine="420"/>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2991</Words>
  <Characters>3087</Characters>
  <Lines>0</Lines>
  <Paragraphs>0</Paragraphs>
  <TotalTime>1</TotalTime>
  <ScaleCrop>false</ScaleCrop>
  <LinksUpToDate>false</LinksUpToDate>
  <CharactersWithSpaces>3117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2022-01-07T09:42:00Z</dcterms:created>
  <dc:creator>岁月忽已暮～</dc:creator>
  <cp:lastModifiedBy>张晨明</cp:lastModifiedBy>
  <dcterms:modified xsi:type="dcterms:W3CDTF">2024-12-11T08:56:37Z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84FDE60882AB41E89881F0B37A03AE43</vt:lpwstr>
  </property>
</Properties>
</file>