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C8A137">
      <w:pPr>
        <w:ind w:firstLine="0" w:firstLineChars="0"/>
        <w:jc w:val="center"/>
        <w:rPr>
          <w:rFonts w:hint="eastAsia" w:ascii="仿宋" w:hAnsi="仿宋" w:eastAsia="仿宋" w:cs="仿宋"/>
          <w:b w:val="0"/>
          <w:bCs w:val="0"/>
          <w:color w:val="auto"/>
          <w:sz w:val="28"/>
          <w:szCs w:val="28"/>
          <w:highlight w:val="none"/>
          <w:lang w:val="en-US" w:eastAsia="zh-CN"/>
        </w:rPr>
      </w:pPr>
    </w:p>
    <w:p w14:paraId="0E445320">
      <w:pPr>
        <w:ind w:firstLine="0" w:firstLineChars="0"/>
        <w:jc w:val="center"/>
        <w:rPr>
          <w:rFonts w:hint="eastAsia" w:ascii="仿宋" w:hAnsi="仿宋" w:eastAsia="仿宋" w:cs="仿宋"/>
          <w:b w:val="0"/>
          <w:bCs w:val="0"/>
          <w:color w:val="auto"/>
          <w:sz w:val="28"/>
          <w:szCs w:val="28"/>
          <w:highlight w:val="none"/>
          <w:lang w:val="en-US" w:eastAsia="zh-CN"/>
        </w:rPr>
      </w:pPr>
    </w:p>
    <w:p w14:paraId="66E8BEF8">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drawing>
          <wp:inline distT="0" distB="0" distL="114300" distR="114300">
            <wp:extent cx="3034030" cy="2945130"/>
            <wp:effectExtent l="0" t="0" r="139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034030" cy="2945130"/>
                    </a:xfrm>
                    <a:prstGeom prst="rect">
                      <a:avLst/>
                    </a:prstGeom>
                    <a:noFill/>
                    <a:ln>
                      <a:noFill/>
                    </a:ln>
                  </pic:spPr>
                </pic:pic>
              </a:graphicData>
            </a:graphic>
          </wp:inline>
        </w:drawing>
      </w:r>
    </w:p>
    <w:p w14:paraId="7FB79E1B">
      <w:pPr>
        <w:ind w:firstLine="0" w:firstLineChars="0"/>
        <w:jc w:val="center"/>
        <w:rPr>
          <w:rFonts w:hint="eastAsia" w:ascii="仿宋" w:hAnsi="仿宋" w:eastAsia="仿宋" w:cs="仿宋"/>
          <w:b w:val="0"/>
          <w:bCs w:val="0"/>
          <w:color w:val="auto"/>
          <w:sz w:val="28"/>
          <w:szCs w:val="28"/>
          <w:highlight w:val="none"/>
          <w:lang w:val="en-US" w:eastAsia="zh-CN"/>
        </w:rPr>
      </w:pPr>
    </w:p>
    <w:p w14:paraId="42DFA750">
      <w:pPr>
        <w:ind w:firstLine="0" w:firstLineChars="0"/>
        <w:jc w:val="center"/>
        <w:rPr>
          <w:rFonts w:hint="eastAsia" w:ascii="仿宋" w:hAnsi="仿宋" w:eastAsia="仿宋" w:cs="仿宋"/>
          <w:b w:val="0"/>
          <w:bCs w:val="0"/>
          <w:color w:val="auto"/>
          <w:sz w:val="28"/>
          <w:szCs w:val="28"/>
          <w:highlight w:val="none"/>
          <w:lang w:val="en-US" w:eastAsia="zh-CN"/>
        </w:rPr>
      </w:pPr>
    </w:p>
    <w:p w14:paraId="4CF77197">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广东海控特种玻璃技术有限公司</w:t>
      </w:r>
      <w:r>
        <w:rPr>
          <w:rFonts w:hint="eastAsia" w:ascii="仿宋" w:hAnsi="仿宋" w:eastAsia="仿宋" w:cs="仿宋"/>
          <w:b w:val="0"/>
          <w:bCs w:val="0"/>
          <w:color w:val="auto"/>
          <w:sz w:val="28"/>
          <w:szCs w:val="28"/>
          <w:highlight w:val="none"/>
          <w:u w:val="single"/>
          <w:lang w:val="en-US" w:eastAsia="zh-CN"/>
        </w:rPr>
        <w:t>玻璃边料</w:t>
      </w:r>
      <w:r>
        <w:rPr>
          <w:rFonts w:hint="eastAsia" w:ascii="仿宋" w:hAnsi="仿宋" w:eastAsia="仿宋" w:cs="仿宋"/>
          <w:b w:val="0"/>
          <w:bCs w:val="0"/>
          <w:color w:val="auto"/>
          <w:sz w:val="28"/>
          <w:szCs w:val="28"/>
          <w:highlight w:val="none"/>
          <w:lang w:val="en-US" w:eastAsia="zh-CN"/>
        </w:rPr>
        <w:t>出售项目</w:t>
      </w:r>
    </w:p>
    <w:p w14:paraId="24B65145">
      <w:pPr>
        <w:ind w:firstLine="0" w:firstLineChars="0"/>
        <w:jc w:val="both"/>
        <w:rPr>
          <w:rFonts w:hint="eastAsia" w:ascii="仿宋" w:hAnsi="仿宋" w:eastAsia="仿宋" w:cs="仿宋"/>
          <w:b w:val="0"/>
          <w:bCs w:val="0"/>
          <w:color w:val="auto"/>
          <w:sz w:val="28"/>
          <w:szCs w:val="28"/>
          <w:highlight w:val="none"/>
          <w:lang w:val="en-US" w:eastAsia="zh-CN"/>
        </w:rPr>
      </w:pPr>
    </w:p>
    <w:p w14:paraId="014BE532">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t>招标</w:t>
      </w:r>
      <w:r>
        <w:rPr>
          <w:rFonts w:hint="eastAsia" w:ascii="仿宋" w:hAnsi="仿宋" w:eastAsia="仿宋" w:cs="仿宋"/>
          <w:b w:val="0"/>
          <w:bCs w:val="0"/>
          <w:color w:val="auto"/>
          <w:sz w:val="28"/>
          <w:szCs w:val="28"/>
          <w:highlight w:val="none"/>
          <w:lang w:val="en-US" w:eastAsia="zh-CN"/>
        </w:rPr>
        <w:t>文件</w:t>
      </w:r>
    </w:p>
    <w:p w14:paraId="3FE8C3D7">
      <w:pPr>
        <w:ind w:firstLine="0" w:firstLineChars="0"/>
        <w:jc w:val="center"/>
        <w:rPr>
          <w:rFonts w:hint="eastAsia" w:ascii="仿宋" w:hAnsi="仿宋" w:eastAsia="仿宋" w:cs="仿宋"/>
          <w:b w:val="0"/>
          <w:bCs w:val="0"/>
          <w:color w:val="auto"/>
          <w:sz w:val="28"/>
          <w:szCs w:val="28"/>
          <w:highlight w:val="none"/>
          <w:lang w:val="en-US" w:eastAsia="zh-CN"/>
        </w:rPr>
      </w:pPr>
    </w:p>
    <w:p w14:paraId="515F9308">
      <w:pPr>
        <w:ind w:firstLine="0" w:firstLineChars="0"/>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招标人：</w:t>
      </w:r>
      <w:r>
        <w:rPr>
          <w:rFonts w:hint="eastAsia" w:ascii="仿宋" w:hAnsi="仿宋" w:eastAsia="仿宋" w:cs="仿宋"/>
          <w:b w:val="0"/>
          <w:bCs w:val="0"/>
          <w:color w:val="auto"/>
          <w:sz w:val="28"/>
          <w:szCs w:val="28"/>
          <w:highlight w:val="none"/>
        </w:rPr>
        <w:t>广东海控特</w:t>
      </w:r>
      <w:r>
        <w:rPr>
          <w:rFonts w:hint="eastAsia" w:ascii="仿宋" w:hAnsi="仿宋" w:eastAsia="仿宋" w:cs="仿宋"/>
          <w:b w:val="0"/>
          <w:bCs w:val="0"/>
          <w:color w:val="auto"/>
          <w:sz w:val="28"/>
          <w:szCs w:val="28"/>
          <w:highlight w:val="none"/>
          <w:lang w:eastAsia="zh-CN"/>
        </w:rPr>
        <w:t>种</w:t>
      </w:r>
      <w:r>
        <w:rPr>
          <w:rFonts w:hint="eastAsia" w:ascii="仿宋" w:hAnsi="仿宋" w:eastAsia="仿宋" w:cs="仿宋"/>
          <w:b w:val="0"/>
          <w:bCs w:val="0"/>
          <w:color w:val="auto"/>
          <w:sz w:val="28"/>
          <w:szCs w:val="28"/>
          <w:highlight w:val="none"/>
        </w:rPr>
        <w:t>玻璃技术有限公司</w:t>
      </w:r>
    </w:p>
    <w:p w14:paraId="73127A2C">
      <w:pPr>
        <w:pStyle w:val="2"/>
        <w:rPr>
          <w:rFonts w:hint="eastAsia" w:ascii="仿宋" w:hAnsi="仿宋" w:eastAsia="仿宋" w:cs="仿宋"/>
          <w:b w:val="0"/>
          <w:bCs w:val="0"/>
          <w:color w:val="auto"/>
          <w:sz w:val="28"/>
          <w:szCs w:val="28"/>
          <w:highlight w:val="none"/>
        </w:rPr>
      </w:pPr>
    </w:p>
    <w:p w14:paraId="5CF272B5">
      <w:pPr>
        <w:ind w:left="2520" w:hanging="1960" w:hangingChars="7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招标人地址：广东省惠州市大亚湾经济技术开发区</w:t>
      </w:r>
    </w:p>
    <w:p w14:paraId="0CF7F48F">
      <w:pPr>
        <w:ind w:left="2432" w:leftChars="978" w:hanging="280" w:hangingChars="1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响水河工业区石化大道西23号</w:t>
      </w:r>
    </w:p>
    <w:p w14:paraId="25427474">
      <w:pPr>
        <w:pStyle w:val="2"/>
        <w:rPr>
          <w:rFonts w:hint="eastAsia" w:ascii="仿宋" w:hAnsi="仿宋" w:eastAsia="仿宋" w:cs="仿宋"/>
          <w:b w:val="0"/>
          <w:bCs w:val="0"/>
          <w:color w:val="auto"/>
          <w:sz w:val="28"/>
          <w:szCs w:val="28"/>
          <w:highlight w:val="none"/>
          <w:lang w:val="en-US" w:eastAsia="zh-CN"/>
        </w:rPr>
      </w:pPr>
    </w:p>
    <w:p w14:paraId="7B22EA30">
      <w:pPr>
        <w:pStyle w:val="2"/>
        <w:ind w:left="0" w:leftChars="0" w:firstLine="0" w:firstLineChars="0"/>
        <w:rPr>
          <w:rFonts w:hint="eastAsia" w:ascii="仿宋" w:hAnsi="仿宋" w:eastAsia="仿宋" w:cs="仿宋"/>
          <w:b w:val="0"/>
          <w:bCs w:val="0"/>
          <w:color w:val="auto"/>
          <w:sz w:val="28"/>
          <w:szCs w:val="28"/>
          <w:highlight w:val="none"/>
          <w:lang w:val="en-US" w:eastAsia="zh-CN"/>
        </w:rPr>
      </w:pPr>
    </w:p>
    <w:p w14:paraId="044ED586">
      <w:pPr>
        <w:ind w:firstLine="0" w:firstLineChars="0"/>
        <w:jc w:val="center"/>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日期：2024年12月</w:t>
      </w:r>
    </w:p>
    <w:p w14:paraId="35D05AEB">
      <w:pPr>
        <w:pStyle w:val="2"/>
        <w:rPr>
          <w:rFonts w:hint="eastAsia"/>
          <w:lang w:val="en-US" w:eastAsia="zh-CN"/>
        </w:rPr>
      </w:pPr>
    </w:p>
    <w:p w14:paraId="7E4CCF63">
      <w:pPr>
        <w:keepNext w:val="0"/>
        <w:keepLines w:val="0"/>
        <w:pageBreakBefore w:val="0"/>
        <w:widowControl/>
        <w:kinsoku/>
        <w:wordWrap/>
        <w:overflowPunct/>
        <w:topLinePunct w:val="0"/>
        <w:autoSpaceDE/>
        <w:autoSpaceDN/>
        <w:bidi w:val="0"/>
        <w:spacing w:line="240" w:lineRule="exact"/>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bidi="ar-SA"/>
        </w:rPr>
        <w:br w:type="page"/>
      </w:r>
    </w:p>
    <w:p w14:paraId="2CD88FE5">
      <w:pPr>
        <w:keepNext w:val="0"/>
        <w:keepLines w:val="0"/>
        <w:pageBreakBefore w:val="0"/>
        <w:kinsoku/>
        <w:wordWrap/>
        <w:overflowPunct/>
        <w:topLinePunct w:val="0"/>
        <w:autoSpaceDE/>
        <w:autoSpaceDN/>
        <w:bidi w:val="0"/>
        <w:adjustRightInd w:val="0"/>
        <w:snapToGrid w:val="0"/>
        <w:spacing w:after="0" w:line="360" w:lineRule="exact"/>
        <w:ind w:firstLine="0" w:firstLineChars="0"/>
        <w:textAlignment w:val="auto"/>
        <w:outlineLvl w:val="0"/>
        <w:rPr>
          <w:rFonts w:hint="eastAsia" w:ascii="仿宋" w:hAnsi="仿宋" w:eastAsia="仿宋" w:cs="仿宋"/>
          <w:b w:val="0"/>
          <w:bCs w:val="0"/>
          <w:color w:val="auto"/>
          <w:sz w:val="28"/>
          <w:szCs w:val="28"/>
          <w:highlight w:val="none"/>
          <w:lang w:val="en-US" w:eastAsia="zh-CN"/>
        </w:rPr>
      </w:pPr>
      <w:bookmarkStart w:id="0" w:name="_Toc24549"/>
      <w:r>
        <w:rPr>
          <w:rFonts w:hint="eastAsia" w:ascii="仿宋" w:hAnsi="仿宋" w:eastAsia="仿宋" w:cs="仿宋"/>
          <w:b w:val="0"/>
          <w:bCs w:val="0"/>
          <w:color w:val="auto"/>
          <w:sz w:val="28"/>
          <w:szCs w:val="28"/>
          <w:highlight w:val="none"/>
          <w:lang w:val="en-US" w:eastAsia="zh-CN"/>
        </w:rPr>
        <w:t>一、投标人须知</w:t>
      </w:r>
      <w:bookmarkEnd w:id="0"/>
    </w:p>
    <w:tbl>
      <w:tblPr>
        <w:tblStyle w:val="10"/>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346"/>
        <w:gridCol w:w="6697"/>
      </w:tblGrid>
      <w:tr w14:paraId="7F72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96" w:type="dxa"/>
            <w:vAlign w:val="center"/>
          </w:tcPr>
          <w:p w14:paraId="28FE8A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序号</w:t>
            </w:r>
          </w:p>
        </w:tc>
        <w:tc>
          <w:tcPr>
            <w:tcW w:w="1346" w:type="dxa"/>
            <w:vAlign w:val="center"/>
          </w:tcPr>
          <w:p w14:paraId="5DC4338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条款名称</w:t>
            </w:r>
          </w:p>
        </w:tc>
        <w:tc>
          <w:tcPr>
            <w:tcW w:w="6697" w:type="dxa"/>
            <w:vAlign w:val="center"/>
          </w:tcPr>
          <w:p w14:paraId="1DE4DE9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内容</w:t>
            </w:r>
          </w:p>
        </w:tc>
      </w:tr>
      <w:tr w14:paraId="4C5B4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1D3AAF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w:t>
            </w:r>
          </w:p>
        </w:tc>
        <w:tc>
          <w:tcPr>
            <w:tcW w:w="1346" w:type="dxa"/>
            <w:vAlign w:val="center"/>
          </w:tcPr>
          <w:p w14:paraId="1BDE3FF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招标人</w:t>
            </w:r>
          </w:p>
        </w:tc>
        <w:tc>
          <w:tcPr>
            <w:tcW w:w="6697" w:type="dxa"/>
            <w:vAlign w:val="center"/>
          </w:tcPr>
          <w:p w14:paraId="4AA44A3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名称：广东海控特种玻璃技术有限公司</w:t>
            </w:r>
          </w:p>
          <w:p w14:paraId="1FAB4E0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 xml:space="preserve">地址：广东省惠州市大亚湾经济技术开   </w:t>
            </w:r>
          </w:p>
          <w:p w14:paraId="2D44C06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发区响水河工业区石化大道西23号</w:t>
            </w:r>
          </w:p>
          <w:p w14:paraId="48517F4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 xml:space="preserve">联系人：张晨明  15875500591 焦永铭  13692783396  </w:t>
            </w:r>
          </w:p>
        </w:tc>
      </w:tr>
      <w:tr w14:paraId="773CA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07882B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w:t>
            </w:r>
          </w:p>
        </w:tc>
        <w:tc>
          <w:tcPr>
            <w:tcW w:w="1346" w:type="dxa"/>
            <w:vAlign w:val="center"/>
          </w:tcPr>
          <w:p w14:paraId="43CA05C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招标项目名称</w:t>
            </w:r>
          </w:p>
        </w:tc>
        <w:tc>
          <w:tcPr>
            <w:tcW w:w="6697" w:type="dxa"/>
            <w:vAlign w:val="center"/>
          </w:tcPr>
          <w:p w14:paraId="48D3B65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广东海控特种玻璃技术有限公司</w:t>
            </w:r>
            <w:r>
              <w:rPr>
                <w:rFonts w:hint="eastAsia" w:ascii="仿宋" w:hAnsi="仿宋" w:eastAsia="仿宋" w:cs="仿宋"/>
                <w:b w:val="0"/>
                <w:bCs w:val="0"/>
                <w:color w:val="auto"/>
                <w:sz w:val="28"/>
                <w:szCs w:val="28"/>
                <w:highlight w:val="none"/>
                <w:vertAlign w:val="baseline"/>
                <w:lang w:val="en-US" w:eastAsia="zh-CN"/>
              </w:rPr>
              <w:t>玻璃边料</w:t>
            </w:r>
            <w:r>
              <w:rPr>
                <w:rFonts w:hint="eastAsia" w:ascii="仿宋" w:hAnsi="仿宋" w:eastAsia="仿宋" w:cs="仿宋"/>
                <w:b w:val="0"/>
                <w:bCs w:val="0"/>
                <w:color w:val="auto"/>
                <w:sz w:val="28"/>
                <w:szCs w:val="28"/>
                <w:highlight w:val="none"/>
                <w:vertAlign w:val="baseline"/>
                <w:lang w:val="en-US" w:eastAsia="zh-CN"/>
              </w:rPr>
              <w:t>出售</w:t>
            </w:r>
          </w:p>
        </w:tc>
      </w:tr>
      <w:tr w14:paraId="74F1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70E757D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w:t>
            </w:r>
          </w:p>
        </w:tc>
        <w:tc>
          <w:tcPr>
            <w:tcW w:w="1346" w:type="dxa"/>
            <w:vAlign w:val="center"/>
          </w:tcPr>
          <w:p w14:paraId="3E7AB88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招标范围</w:t>
            </w:r>
          </w:p>
        </w:tc>
        <w:tc>
          <w:tcPr>
            <w:tcW w:w="6697" w:type="dxa"/>
            <w:vAlign w:val="center"/>
          </w:tcPr>
          <w:p w14:paraId="37E3BA2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广东海控特种玻璃技术有限公司所属厂内</w:t>
            </w:r>
            <w:r>
              <w:rPr>
                <w:rFonts w:hint="eastAsia" w:ascii="仿宋" w:hAnsi="仿宋" w:eastAsia="仿宋" w:cs="仿宋"/>
                <w:b w:val="0"/>
                <w:bCs w:val="0"/>
                <w:color w:val="auto"/>
                <w:sz w:val="28"/>
                <w:szCs w:val="28"/>
                <w:highlight w:val="none"/>
                <w:vertAlign w:val="baseline"/>
                <w:lang w:val="en-US" w:eastAsia="zh-CN"/>
              </w:rPr>
              <w:t>玻璃边料</w:t>
            </w:r>
            <w:r>
              <w:rPr>
                <w:rFonts w:hint="eastAsia" w:ascii="仿宋" w:hAnsi="仿宋" w:eastAsia="仿宋" w:cs="仿宋"/>
                <w:b w:val="0"/>
                <w:bCs w:val="0"/>
                <w:color w:val="auto"/>
                <w:sz w:val="28"/>
                <w:szCs w:val="28"/>
                <w:highlight w:val="none"/>
                <w:vertAlign w:val="baseline"/>
                <w:lang w:val="en-US" w:eastAsia="zh-CN"/>
              </w:rPr>
              <w:t>出售。</w:t>
            </w:r>
          </w:p>
        </w:tc>
      </w:tr>
      <w:tr w14:paraId="2546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696D22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4</w:t>
            </w:r>
          </w:p>
        </w:tc>
        <w:tc>
          <w:tcPr>
            <w:tcW w:w="1346" w:type="dxa"/>
            <w:vAlign w:val="center"/>
          </w:tcPr>
          <w:p w14:paraId="112CA73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标的物出售时间段</w:t>
            </w:r>
          </w:p>
        </w:tc>
        <w:tc>
          <w:tcPr>
            <w:tcW w:w="6697" w:type="dxa"/>
            <w:vAlign w:val="center"/>
          </w:tcPr>
          <w:p w14:paraId="4252AD8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2025年1月1日至2025年12月31日</w:t>
            </w:r>
          </w:p>
        </w:tc>
      </w:tr>
      <w:tr w14:paraId="19F4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5F9528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5</w:t>
            </w:r>
          </w:p>
        </w:tc>
        <w:tc>
          <w:tcPr>
            <w:tcW w:w="1346" w:type="dxa"/>
            <w:vAlign w:val="center"/>
          </w:tcPr>
          <w:p w14:paraId="4277F22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招标方式</w:t>
            </w:r>
          </w:p>
        </w:tc>
        <w:tc>
          <w:tcPr>
            <w:tcW w:w="6697" w:type="dxa"/>
            <w:vAlign w:val="center"/>
          </w:tcPr>
          <w:p w14:paraId="3E33FA0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通过</w:t>
            </w:r>
            <w:r>
              <w:rPr>
                <w:rFonts w:hint="eastAsia" w:ascii="仿宋" w:hAnsi="仿宋" w:eastAsia="仿宋" w:cs="仿宋"/>
                <w:b w:val="0"/>
                <w:bCs w:val="0"/>
                <w:color w:val="auto"/>
                <w:sz w:val="28"/>
                <w:szCs w:val="28"/>
                <w:highlight w:val="none"/>
                <w:vertAlign w:val="baseline"/>
                <w:lang w:val="en-US" w:eastAsia="zh-CN"/>
              </w:rPr>
              <w:t>招标人</w:t>
            </w:r>
            <w:r>
              <w:rPr>
                <w:rFonts w:hint="eastAsia" w:ascii="仿宋" w:hAnsi="仿宋" w:eastAsia="仿宋" w:cs="仿宋"/>
                <w:b w:val="0"/>
                <w:bCs w:val="0"/>
                <w:color w:val="auto"/>
                <w:sz w:val="28"/>
                <w:szCs w:val="28"/>
                <w:highlight w:val="none"/>
                <w:vertAlign w:val="baseline"/>
                <w:lang w:val="en-US" w:eastAsia="zh-CN"/>
              </w:rPr>
              <w:t>内部公告栏张贴、公司官网等发布方式，公开招标。</w:t>
            </w:r>
          </w:p>
        </w:tc>
      </w:tr>
      <w:tr w14:paraId="031F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0136645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6</w:t>
            </w:r>
          </w:p>
        </w:tc>
        <w:tc>
          <w:tcPr>
            <w:tcW w:w="1346" w:type="dxa"/>
            <w:vAlign w:val="center"/>
          </w:tcPr>
          <w:p w14:paraId="7D66E8E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投标文件要求（资质条件、能力、信誉，以上均作为综合评标项）</w:t>
            </w:r>
          </w:p>
        </w:tc>
        <w:tc>
          <w:tcPr>
            <w:tcW w:w="6697" w:type="dxa"/>
            <w:vAlign w:val="center"/>
          </w:tcPr>
          <w:p w14:paraId="17F1651D">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资质要求：自然人或独立法人资格；</w:t>
            </w:r>
          </w:p>
          <w:p w14:paraId="4AD15EF3">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财务要求：良好的资金、财务状况；</w:t>
            </w:r>
          </w:p>
          <w:p w14:paraId="0C1C1F9D">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投标人业绩：良好的履约纪录（近年完成的类似项目情况表）；</w:t>
            </w:r>
          </w:p>
          <w:p w14:paraId="1F9ADA1A">
            <w:pPr>
              <w:keepNext w:val="0"/>
              <w:keepLines w:val="0"/>
              <w:pageBreakBefore w:val="0"/>
              <w:widowControl w:val="0"/>
              <w:numPr>
                <w:ilvl w:val="0"/>
                <w:numId w:val="1"/>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资料提交要求：自然人须提交个人身份证复印件、法人须提供营业执照及行政许可/资质证书的复印件、</w:t>
            </w:r>
            <w:r>
              <w:rPr>
                <w:rFonts w:hint="eastAsia" w:ascii="仿宋" w:hAnsi="仿宋" w:eastAsia="仿宋" w:cs="仿宋"/>
                <w:b w:val="0"/>
                <w:bCs w:val="0"/>
                <w:color w:val="auto"/>
                <w:sz w:val="28"/>
                <w:szCs w:val="28"/>
                <w:highlight w:val="none"/>
                <w:lang w:val="en-US" w:eastAsia="zh-CN"/>
              </w:rPr>
              <w:t>法定代表人（单位负责人）身份证明或</w:t>
            </w:r>
            <w:r>
              <w:rPr>
                <w:rFonts w:hint="eastAsia" w:ascii="仿宋" w:hAnsi="仿宋" w:eastAsia="仿宋" w:cs="仿宋"/>
                <w:b w:val="0"/>
                <w:bCs w:val="0"/>
                <w:color w:val="auto"/>
                <w:sz w:val="28"/>
                <w:szCs w:val="28"/>
                <w:highlight w:val="none"/>
                <w:vertAlign w:val="baseline"/>
                <w:lang w:val="en-US" w:eastAsia="zh-CN"/>
              </w:rPr>
              <w:t>授权投标的授权委托书；财务情况表，近年完成的类似项目情况表。</w:t>
            </w:r>
          </w:p>
        </w:tc>
      </w:tr>
      <w:tr w14:paraId="5561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96" w:type="dxa"/>
            <w:vAlign w:val="center"/>
          </w:tcPr>
          <w:p w14:paraId="3C401F1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7</w:t>
            </w:r>
          </w:p>
        </w:tc>
        <w:tc>
          <w:tcPr>
            <w:tcW w:w="1346" w:type="dxa"/>
            <w:vAlign w:val="center"/>
          </w:tcPr>
          <w:p w14:paraId="3E57F56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是否接受联合体投标</w:t>
            </w:r>
          </w:p>
        </w:tc>
        <w:tc>
          <w:tcPr>
            <w:tcW w:w="6697" w:type="dxa"/>
            <w:vAlign w:val="center"/>
          </w:tcPr>
          <w:p w14:paraId="2D39648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不接受</w:t>
            </w:r>
          </w:p>
        </w:tc>
      </w:tr>
      <w:tr w14:paraId="7A0A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489A862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8</w:t>
            </w:r>
          </w:p>
        </w:tc>
        <w:tc>
          <w:tcPr>
            <w:tcW w:w="1346" w:type="dxa"/>
            <w:vAlign w:val="center"/>
          </w:tcPr>
          <w:p w14:paraId="4AB68A2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投标人不得存在的其他情形</w:t>
            </w:r>
          </w:p>
        </w:tc>
        <w:tc>
          <w:tcPr>
            <w:tcW w:w="6697" w:type="dxa"/>
            <w:vAlign w:val="center"/>
          </w:tcPr>
          <w:p w14:paraId="4AAE50E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在近三年内投标人或其法定代表人、拟委任的项目负责人有行贿犯罪行为的。</w:t>
            </w:r>
          </w:p>
        </w:tc>
      </w:tr>
      <w:tr w14:paraId="166F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77691E9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9</w:t>
            </w:r>
          </w:p>
        </w:tc>
        <w:tc>
          <w:tcPr>
            <w:tcW w:w="1346" w:type="dxa"/>
            <w:vAlign w:val="center"/>
          </w:tcPr>
          <w:p w14:paraId="086C059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税金的计算方法</w:t>
            </w:r>
          </w:p>
        </w:tc>
        <w:tc>
          <w:tcPr>
            <w:tcW w:w="6697" w:type="dxa"/>
            <w:vAlign w:val="center"/>
          </w:tcPr>
          <w:p w14:paraId="53D356E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不含税总价*13%税率</w:t>
            </w:r>
          </w:p>
        </w:tc>
      </w:tr>
      <w:tr w14:paraId="4661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25EC6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10</w:t>
            </w:r>
          </w:p>
        </w:tc>
        <w:tc>
          <w:tcPr>
            <w:tcW w:w="1346" w:type="dxa"/>
            <w:vAlign w:val="center"/>
          </w:tcPr>
          <w:p w14:paraId="4A11E0F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最低投标限价</w:t>
            </w:r>
          </w:p>
        </w:tc>
        <w:tc>
          <w:tcPr>
            <w:tcW w:w="6697" w:type="dxa"/>
            <w:vAlign w:val="center"/>
          </w:tcPr>
          <w:p w14:paraId="0566978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有，最低投标限价见招标文件附件一：明细（含最低投标限价）。</w:t>
            </w:r>
          </w:p>
        </w:tc>
      </w:tr>
      <w:tr w14:paraId="5C02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3D0E7F0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11</w:t>
            </w:r>
          </w:p>
        </w:tc>
        <w:tc>
          <w:tcPr>
            <w:tcW w:w="1346" w:type="dxa"/>
            <w:vAlign w:val="center"/>
          </w:tcPr>
          <w:p w14:paraId="4F30179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投标报价的其他要求</w:t>
            </w:r>
          </w:p>
        </w:tc>
        <w:tc>
          <w:tcPr>
            <w:tcW w:w="6697" w:type="dxa"/>
            <w:vAlign w:val="center"/>
          </w:tcPr>
          <w:p w14:paraId="184E900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（1）投标人对同一招标项目不得出现两个或以上投标报价；</w:t>
            </w:r>
          </w:p>
          <w:p w14:paraId="29F2E95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（2）投标报价必须按本招标文件规定的格式报价，并不得有任何不规范的涂改；</w:t>
            </w:r>
          </w:p>
          <w:p w14:paraId="5B4045B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（3）投标报价为含13%增值税专用发票价。</w:t>
            </w:r>
          </w:p>
        </w:tc>
      </w:tr>
      <w:tr w14:paraId="433D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4E0147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12</w:t>
            </w:r>
          </w:p>
        </w:tc>
        <w:tc>
          <w:tcPr>
            <w:tcW w:w="1346" w:type="dxa"/>
            <w:vAlign w:val="center"/>
          </w:tcPr>
          <w:p w14:paraId="3E6B039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投标保证金</w:t>
            </w:r>
          </w:p>
        </w:tc>
        <w:tc>
          <w:tcPr>
            <w:tcW w:w="6697" w:type="dxa"/>
            <w:vAlign w:val="center"/>
          </w:tcPr>
          <w:p w14:paraId="1BAB3C7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（1）是否要求投标人递交投标保证金：</w:t>
            </w:r>
          </w:p>
          <w:p w14:paraId="7AF7D83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是，投标保证金的形式：转账、现金；不接受投标保函。</w:t>
            </w:r>
          </w:p>
          <w:p w14:paraId="3C770BD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（2）投标保证金的金额：2万元；</w:t>
            </w:r>
          </w:p>
          <w:p w14:paraId="43A9E84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（3）投标保证金须在递交投标文件截止时间前通过以下方式完成缴纳，否则视为放弃本次投标机会，一律不接受其投标文件。</w:t>
            </w:r>
          </w:p>
          <w:p w14:paraId="2EBEE73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现场缴纳</w:t>
            </w:r>
            <w:r>
              <w:rPr>
                <w:rFonts w:hint="eastAsia" w:ascii="仿宋" w:hAnsi="仿宋" w:eastAsia="仿宋" w:cs="仿宋"/>
                <w:b w:val="0"/>
                <w:bCs w:val="0"/>
                <w:color w:val="auto"/>
                <w:sz w:val="28"/>
                <w:szCs w:val="28"/>
                <w:highlight w:val="none"/>
                <w:vertAlign w:val="baseline"/>
                <w:lang w:val="en-US" w:eastAsia="zh-CN"/>
              </w:rPr>
              <w:t>：投标人可至招标人住所（惠州市大亚湾石化大道西23号），科研楼二楼，财务部办公室现场缴纳。</w:t>
            </w:r>
          </w:p>
          <w:p w14:paraId="08F4926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转账方式缴纳</w:t>
            </w:r>
            <w:r>
              <w:rPr>
                <w:rFonts w:hint="eastAsia" w:ascii="仿宋" w:hAnsi="仿宋" w:eastAsia="仿宋" w:cs="仿宋"/>
                <w:b w:val="0"/>
                <w:bCs w:val="0"/>
                <w:color w:val="auto"/>
                <w:sz w:val="28"/>
                <w:szCs w:val="28"/>
                <w:highlight w:val="none"/>
                <w:vertAlign w:val="baseline"/>
                <w:lang w:val="en-US" w:eastAsia="zh-CN"/>
              </w:rPr>
              <w:t>：投标人可从其基本账户将投标保证金汇入</w:t>
            </w:r>
          </w:p>
          <w:p w14:paraId="21E6519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招标人以下账户：户名：广东海控特种玻璃技术有限公司</w:t>
            </w:r>
          </w:p>
          <w:p w14:paraId="746E967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账号：44232801040003726开户行：中国农业银行股份有限公司惠州大亚湾支行</w:t>
            </w:r>
          </w:p>
          <w:p w14:paraId="5662656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vertAlign w:val="baseline"/>
                <w:lang w:val="en-US" w:eastAsia="zh-CN"/>
              </w:rPr>
              <w:t>（4）款项到账后，招标人将开具相应收据给投标人。</w:t>
            </w:r>
          </w:p>
          <w:p w14:paraId="68977EE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（5）招标人</w:t>
            </w:r>
            <w:r>
              <w:rPr>
                <w:rFonts w:hint="eastAsia" w:ascii="仿宋" w:hAnsi="仿宋" w:eastAsia="仿宋" w:cs="仿宋"/>
                <w:b w:val="0"/>
                <w:bCs w:val="0"/>
                <w:color w:val="auto"/>
                <w:sz w:val="28"/>
                <w:szCs w:val="28"/>
                <w:highlight w:val="none"/>
                <w:vertAlign w:val="baseline"/>
                <w:lang w:val="en-US" w:eastAsia="zh-CN"/>
              </w:rPr>
              <w:t>将于</w:t>
            </w:r>
            <w:r>
              <w:rPr>
                <w:rFonts w:hint="eastAsia" w:ascii="仿宋" w:hAnsi="仿宋" w:eastAsia="仿宋" w:cs="仿宋"/>
                <w:b w:val="0"/>
                <w:bCs w:val="0"/>
                <w:color w:val="auto"/>
                <w:sz w:val="28"/>
                <w:szCs w:val="28"/>
                <w:highlight w:val="none"/>
                <w:vertAlign w:val="baseline"/>
                <w:lang w:val="en-US" w:eastAsia="zh-CN"/>
              </w:rPr>
              <w:t>《中标通知书》发出后30</w:t>
            </w:r>
            <w:r>
              <w:rPr>
                <w:rFonts w:hint="eastAsia" w:ascii="仿宋" w:hAnsi="仿宋" w:eastAsia="仿宋" w:cs="仿宋"/>
                <w:b w:val="0"/>
                <w:bCs w:val="0"/>
                <w:color w:val="auto"/>
                <w:sz w:val="28"/>
                <w:szCs w:val="28"/>
                <w:highlight w:val="none"/>
                <w:vertAlign w:val="baseline"/>
                <w:lang w:val="en-US" w:eastAsia="zh-CN"/>
              </w:rPr>
              <w:t>个工作日内无息退</w:t>
            </w:r>
            <w:r>
              <w:rPr>
                <w:rFonts w:hint="eastAsia" w:ascii="仿宋" w:hAnsi="仿宋" w:eastAsia="仿宋" w:cs="仿宋"/>
                <w:b w:val="0"/>
                <w:bCs w:val="0"/>
                <w:color w:val="auto"/>
                <w:sz w:val="28"/>
                <w:szCs w:val="28"/>
                <w:highlight w:val="none"/>
                <w:vertAlign w:val="baseline"/>
                <w:lang w:val="en-US" w:eastAsia="zh-CN"/>
              </w:rPr>
              <w:t>回</w:t>
            </w:r>
            <w:r>
              <w:rPr>
                <w:rFonts w:hint="eastAsia" w:ascii="仿宋" w:hAnsi="仿宋" w:eastAsia="仿宋" w:cs="仿宋"/>
                <w:b w:val="0"/>
                <w:bCs w:val="0"/>
                <w:color w:val="auto"/>
                <w:sz w:val="28"/>
                <w:szCs w:val="28"/>
                <w:highlight w:val="none"/>
                <w:vertAlign w:val="baseline"/>
                <w:lang w:val="en-US" w:eastAsia="zh-CN"/>
              </w:rPr>
              <w:t>未中标的</w:t>
            </w:r>
            <w:r>
              <w:rPr>
                <w:rFonts w:hint="eastAsia" w:ascii="仿宋" w:hAnsi="仿宋" w:eastAsia="仿宋" w:cs="仿宋"/>
                <w:b w:val="0"/>
                <w:bCs w:val="0"/>
                <w:color w:val="auto"/>
                <w:sz w:val="28"/>
                <w:szCs w:val="28"/>
                <w:highlight w:val="none"/>
                <w:vertAlign w:val="baseline"/>
                <w:lang w:val="en-US" w:eastAsia="zh-CN"/>
              </w:rPr>
              <w:t>投标人或其基本账户。</w:t>
            </w:r>
          </w:p>
          <w:p w14:paraId="4CDEE88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（6）中标人在收到招标人正式《中标通知书》后，其已支付的投标保证金将自动转为履约保证金的一部分，中标人需在3日内另行支付2万元，合计4万元，作为本项目的履约保证金。</w:t>
            </w:r>
          </w:p>
          <w:p w14:paraId="0188107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中标人未在规定期限内交齐履约保证金或中标后悔标的，其已交的投标保证金不予退回。</w:t>
            </w:r>
          </w:p>
          <w:p w14:paraId="6069079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（7）保证金相关服务联系人：财务部；罗泳诗               联系方式：0752-5199101</w:t>
            </w:r>
          </w:p>
        </w:tc>
      </w:tr>
      <w:tr w14:paraId="7998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0F42639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13</w:t>
            </w:r>
          </w:p>
        </w:tc>
        <w:tc>
          <w:tcPr>
            <w:tcW w:w="1346" w:type="dxa"/>
            <w:vAlign w:val="center"/>
          </w:tcPr>
          <w:p w14:paraId="61D90C26">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投标文件份数及其他要求</w:t>
            </w:r>
          </w:p>
        </w:tc>
        <w:tc>
          <w:tcPr>
            <w:tcW w:w="6697" w:type="dxa"/>
            <w:vAlign w:val="center"/>
          </w:tcPr>
          <w:p w14:paraId="69179C2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投标文件份数：正本：1份，副本：2份；每份需分别装订成册。</w:t>
            </w:r>
          </w:p>
          <w:p w14:paraId="59656FEB">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提交电子版文件1份，已签字盖章后的PDF扫描件。</w:t>
            </w:r>
          </w:p>
          <w:p w14:paraId="481993D4">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统一A4印刷本，纸质信封。信封封面标明文件题名、</w:t>
            </w:r>
          </w:p>
          <w:p w14:paraId="1D73A5B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投标单位、封装时间、右上角打上正本（或副本），并</w:t>
            </w:r>
            <w:r>
              <w:rPr>
                <w:rFonts w:hint="eastAsia" w:ascii="仿宋" w:hAnsi="仿宋" w:eastAsia="仿宋" w:cs="仿宋"/>
                <w:b w:val="0"/>
                <w:bCs w:val="0"/>
                <w:color w:val="auto"/>
                <w:sz w:val="28"/>
                <w:szCs w:val="28"/>
                <w:highlight w:val="none"/>
                <w:lang w:val="en-US" w:eastAsia="zh-CN"/>
              </w:rPr>
              <w:t>加盖投标人单位公章或由投标人的法定代表人（单位负责人）或其授权的代理人签字</w:t>
            </w:r>
            <w:r>
              <w:rPr>
                <w:rFonts w:hint="eastAsia" w:ascii="仿宋" w:hAnsi="仿宋" w:eastAsia="仿宋" w:cs="仿宋"/>
                <w:b w:val="0"/>
                <w:bCs w:val="0"/>
                <w:color w:val="auto"/>
                <w:sz w:val="28"/>
                <w:szCs w:val="28"/>
                <w:highlight w:val="none"/>
                <w:vertAlign w:val="baseline"/>
                <w:lang w:val="en-US" w:eastAsia="zh-CN"/>
              </w:rPr>
              <w:t>。</w:t>
            </w:r>
          </w:p>
          <w:p w14:paraId="5D1F77F9">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lang w:val="en-US" w:eastAsia="zh-CN"/>
              </w:rPr>
              <w:t>未按要求密封的投标文件，招标人将予以拒收。</w:t>
            </w:r>
          </w:p>
          <w:p w14:paraId="3F6A7C5D">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投标文件的页码：必须按每本逐页从1开始，按照流</w:t>
            </w:r>
          </w:p>
          <w:p w14:paraId="3523A1C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水号编号（包括附图、证件、图片等）（空白页面不编号）。</w:t>
            </w:r>
          </w:p>
          <w:p w14:paraId="0A82BCC9">
            <w:pPr>
              <w:keepNext w:val="0"/>
              <w:keepLines w:val="0"/>
              <w:pageBreakBefore w:val="0"/>
              <w:widowControl w:val="0"/>
              <w:numPr>
                <w:ilvl w:val="0"/>
                <w:numId w:val="2"/>
              </w:numPr>
              <w:kinsoku/>
              <w:wordWrap/>
              <w:overflowPunct/>
              <w:topLinePunct w:val="0"/>
              <w:autoSpaceDE/>
              <w:autoSpaceDN/>
              <w:bidi w:val="0"/>
              <w:adjustRightInd w:val="0"/>
              <w:snapToGrid w:val="0"/>
              <w:spacing w:after="0" w:line="360" w:lineRule="exact"/>
              <w:ind w:left="-20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中标人在收到《中标通知书》前应根据招标人要求再</w:t>
            </w:r>
          </w:p>
          <w:p w14:paraId="48EFF4F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补交相关文件。</w:t>
            </w:r>
          </w:p>
        </w:tc>
      </w:tr>
      <w:tr w14:paraId="4875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0D6D0F4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14</w:t>
            </w:r>
          </w:p>
        </w:tc>
        <w:tc>
          <w:tcPr>
            <w:tcW w:w="1346" w:type="dxa"/>
            <w:vAlign w:val="center"/>
          </w:tcPr>
          <w:p w14:paraId="6FB2287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投标截止时间</w:t>
            </w:r>
          </w:p>
        </w:tc>
        <w:tc>
          <w:tcPr>
            <w:tcW w:w="6697" w:type="dxa"/>
            <w:vAlign w:val="center"/>
          </w:tcPr>
          <w:p w14:paraId="0F5B045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2024年12月19日</w:t>
            </w:r>
          </w:p>
        </w:tc>
      </w:tr>
      <w:tr w14:paraId="7C14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526FAB7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15</w:t>
            </w:r>
          </w:p>
        </w:tc>
        <w:tc>
          <w:tcPr>
            <w:tcW w:w="1346" w:type="dxa"/>
            <w:vAlign w:val="center"/>
          </w:tcPr>
          <w:p w14:paraId="6FC9008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投标文件是否退还</w:t>
            </w:r>
          </w:p>
        </w:tc>
        <w:tc>
          <w:tcPr>
            <w:tcW w:w="6697" w:type="dxa"/>
            <w:vAlign w:val="center"/>
          </w:tcPr>
          <w:p w14:paraId="706D85A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 xml:space="preserve">否 </w:t>
            </w:r>
          </w:p>
        </w:tc>
      </w:tr>
      <w:tr w14:paraId="403B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423E22CE">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16</w:t>
            </w:r>
          </w:p>
        </w:tc>
        <w:tc>
          <w:tcPr>
            <w:tcW w:w="1346" w:type="dxa"/>
            <w:vAlign w:val="center"/>
          </w:tcPr>
          <w:p w14:paraId="650A248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开标时间和地点</w:t>
            </w:r>
          </w:p>
        </w:tc>
        <w:tc>
          <w:tcPr>
            <w:tcW w:w="6697" w:type="dxa"/>
            <w:vAlign w:val="center"/>
          </w:tcPr>
          <w:p w14:paraId="7153ED9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开标时间：2024年12月19日</w:t>
            </w:r>
          </w:p>
          <w:p w14:paraId="6E38D3F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开标地点：同投递招标文件地点</w:t>
            </w:r>
          </w:p>
        </w:tc>
      </w:tr>
      <w:tr w14:paraId="2E88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496" w:type="dxa"/>
            <w:vAlign w:val="center"/>
          </w:tcPr>
          <w:p w14:paraId="42640D7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17</w:t>
            </w:r>
          </w:p>
        </w:tc>
        <w:tc>
          <w:tcPr>
            <w:tcW w:w="1346" w:type="dxa"/>
            <w:vAlign w:val="center"/>
          </w:tcPr>
          <w:p w14:paraId="72E046A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开标顺序</w:t>
            </w:r>
          </w:p>
        </w:tc>
        <w:tc>
          <w:tcPr>
            <w:tcW w:w="6697" w:type="dxa"/>
            <w:vAlign w:val="center"/>
          </w:tcPr>
          <w:p w14:paraId="2224E0C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随机</w:t>
            </w:r>
          </w:p>
        </w:tc>
      </w:tr>
      <w:tr w14:paraId="3053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496" w:type="dxa"/>
            <w:vAlign w:val="center"/>
          </w:tcPr>
          <w:p w14:paraId="5034D2AE">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18</w:t>
            </w:r>
          </w:p>
        </w:tc>
        <w:tc>
          <w:tcPr>
            <w:tcW w:w="1346" w:type="dxa"/>
            <w:shd w:val="clear" w:color="auto" w:fill="auto"/>
            <w:vAlign w:val="center"/>
          </w:tcPr>
          <w:p w14:paraId="1142CD5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分包</w:t>
            </w:r>
          </w:p>
        </w:tc>
        <w:tc>
          <w:tcPr>
            <w:tcW w:w="6697" w:type="dxa"/>
            <w:shd w:val="clear" w:color="auto" w:fill="auto"/>
            <w:vAlign w:val="center"/>
          </w:tcPr>
          <w:p w14:paraId="0B8BD96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中标人不得向他人转让中标项目，不得分包。</w:t>
            </w:r>
          </w:p>
        </w:tc>
      </w:tr>
      <w:tr w14:paraId="2076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0" w:type="auto"/>
            <w:vAlign w:val="center"/>
          </w:tcPr>
          <w:p w14:paraId="5B5583E0">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19</w:t>
            </w:r>
          </w:p>
        </w:tc>
        <w:tc>
          <w:tcPr>
            <w:tcW w:w="1346" w:type="dxa"/>
            <w:vAlign w:val="center"/>
          </w:tcPr>
          <w:p w14:paraId="1D1DEABA">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评标委员会推荐中标候选人的人数</w:t>
            </w:r>
          </w:p>
        </w:tc>
        <w:tc>
          <w:tcPr>
            <w:tcW w:w="6697" w:type="dxa"/>
            <w:vAlign w:val="center"/>
          </w:tcPr>
          <w:p w14:paraId="6192379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3名。若可推荐的单位不足3名时，按能推荐的最大数推荐。</w:t>
            </w:r>
          </w:p>
        </w:tc>
      </w:tr>
      <w:tr w14:paraId="65C5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77D4D4B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20</w:t>
            </w:r>
          </w:p>
        </w:tc>
        <w:tc>
          <w:tcPr>
            <w:tcW w:w="1346" w:type="dxa"/>
            <w:shd w:val="clear"/>
            <w:vAlign w:val="center"/>
          </w:tcPr>
          <w:p w14:paraId="7252173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中标通知书</w:t>
            </w:r>
          </w:p>
        </w:tc>
        <w:tc>
          <w:tcPr>
            <w:tcW w:w="6697" w:type="dxa"/>
            <w:shd w:val="clear"/>
            <w:vAlign w:val="center"/>
          </w:tcPr>
          <w:p w14:paraId="787E067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left"/>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投标有效期内，招标人以书面形式向中标人发出中标通知书。</w:t>
            </w:r>
          </w:p>
        </w:tc>
      </w:tr>
      <w:tr w14:paraId="5C3C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35BBFCC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21</w:t>
            </w:r>
          </w:p>
        </w:tc>
        <w:tc>
          <w:tcPr>
            <w:tcW w:w="1346" w:type="dxa"/>
            <w:shd w:val="clear"/>
            <w:vAlign w:val="center"/>
          </w:tcPr>
          <w:p w14:paraId="7F0AA7E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履约保证金</w:t>
            </w:r>
          </w:p>
        </w:tc>
        <w:tc>
          <w:tcPr>
            <w:tcW w:w="6697" w:type="dxa"/>
            <w:shd w:val="clear"/>
            <w:vAlign w:val="center"/>
          </w:tcPr>
          <w:p w14:paraId="6B47C25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是否要求中标人提交履约保证金：</w:t>
            </w:r>
          </w:p>
          <w:p w14:paraId="73E6BF2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sym w:font="Wingdings 2" w:char="0052"/>
            </w:r>
            <w:r>
              <w:rPr>
                <w:rFonts w:hint="eastAsia" w:ascii="仿宋" w:hAnsi="仿宋" w:eastAsia="仿宋" w:cs="仿宋"/>
                <w:b w:val="0"/>
                <w:bCs w:val="0"/>
                <w:color w:val="auto"/>
                <w:sz w:val="28"/>
                <w:szCs w:val="28"/>
                <w:highlight w:val="none"/>
                <w:vertAlign w:val="baseline"/>
                <w:lang w:val="en-US" w:eastAsia="zh-CN"/>
              </w:rPr>
              <w:t>是，履约保证金的形式：4万元。中标人在收到《中标通知书》后，其已支付的投标保证金将自动转为履约保证金的一部分，中标人需在3日内另行支付2万元，合计4万元，作为本项目的履约保证金。</w:t>
            </w:r>
          </w:p>
        </w:tc>
      </w:tr>
      <w:tr w14:paraId="4C75C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03BE61A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22</w:t>
            </w:r>
          </w:p>
        </w:tc>
        <w:tc>
          <w:tcPr>
            <w:tcW w:w="1346" w:type="dxa"/>
            <w:shd w:val="clear"/>
            <w:vAlign w:val="center"/>
          </w:tcPr>
          <w:p w14:paraId="4B373D6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价格的核准原则</w:t>
            </w:r>
          </w:p>
        </w:tc>
        <w:tc>
          <w:tcPr>
            <w:tcW w:w="6697" w:type="dxa"/>
            <w:shd w:val="clear"/>
            <w:vAlign w:val="top"/>
          </w:tcPr>
          <w:p w14:paraId="40C7F0C1">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（1）若价格有误，以评标委员会核准的价格为准。</w:t>
            </w:r>
          </w:p>
          <w:p w14:paraId="49F52D5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（2）若用小写表示的金额和用大写的金额不一致，以金额高者</w:t>
            </w:r>
          </w:p>
          <w:p w14:paraId="02E2398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为准。</w:t>
            </w:r>
          </w:p>
          <w:p w14:paraId="30267AA7">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（3）当单价与数量的乘积与总价不一致时，以单价为准，并修订总价。除非在评标委员会看来单价中有明显的小数点错误，在这种情况下则以所报的合价为准，修改单价。</w:t>
            </w:r>
          </w:p>
          <w:p w14:paraId="0792C7F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（4）按上述原则核定后，按就高不就低原则确定核准价：当核定后的投标价大于原投标价，按核定后的投标价；当核定后的投标价小于原投标价，按原投标价。</w:t>
            </w:r>
          </w:p>
        </w:tc>
      </w:tr>
      <w:tr w14:paraId="6126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7A5AC7B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23</w:t>
            </w:r>
          </w:p>
        </w:tc>
        <w:tc>
          <w:tcPr>
            <w:tcW w:w="1346" w:type="dxa"/>
            <w:shd w:val="clear"/>
            <w:vAlign w:val="center"/>
          </w:tcPr>
          <w:p w14:paraId="55D22C7F">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费用承担</w:t>
            </w:r>
          </w:p>
        </w:tc>
        <w:tc>
          <w:tcPr>
            <w:tcW w:w="6697" w:type="dxa"/>
            <w:shd w:val="clear"/>
            <w:vAlign w:val="center"/>
          </w:tcPr>
          <w:p w14:paraId="1A5CB714">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投标人准备和参加本招标项目投标活动发生的费用自理。</w:t>
            </w:r>
          </w:p>
        </w:tc>
      </w:tr>
      <w:tr w14:paraId="16E2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0" w:type="auto"/>
            <w:vAlign w:val="center"/>
          </w:tcPr>
          <w:p w14:paraId="6D3BE9B3">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default"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24</w:t>
            </w:r>
            <w:bookmarkStart w:id="26" w:name="_GoBack"/>
            <w:bookmarkEnd w:id="26"/>
          </w:p>
          <w:p w14:paraId="3969D4F3">
            <w:pPr>
              <w:pStyle w:val="2"/>
              <w:rPr>
                <w:rFonts w:hint="default"/>
                <w:lang w:val="en-US" w:eastAsia="zh-CN"/>
              </w:rPr>
            </w:pPr>
          </w:p>
        </w:tc>
        <w:tc>
          <w:tcPr>
            <w:tcW w:w="1346" w:type="dxa"/>
            <w:shd w:val="clear"/>
            <w:vAlign w:val="center"/>
          </w:tcPr>
          <w:p w14:paraId="3B7E05E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其他</w:t>
            </w:r>
          </w:p>
        </w:tc>
        <w:tc>
          <w:tcPr>
            <w:tcW w:w="6697" w:type="dxa"/>
            <w:shd w:val="clear"/>
            <w:vAlign w:val="top"/>
          </w:tcPr>
          <w:p w14:paraId="68697A4B">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（1）投标人应认真对待投标文件的真实性，投标文件中所附的各种材料不允许有造假行为，一经发现，评标委员会将否决其</w:t>
            </w:r>
          </w:p>
          <w:p w14:paraId="3FC71A2C">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投标，取消其中标资格；已发出中标通知书的，中标无效。</w:t>
            </w:r>
          </w:p>
          <w:p w14:paraId="10135008">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（2）投标人必须按照招标文件规定的清单格式进行报价，除了招标文件清单报价，招标人不再接受其他任何形式的报价说明</w:t>
            </w:r>
          </w:p>
          <w:p w14:paraId="373E9B12">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（比如降价函、报价补充说明、优惠报价说明等等）。</w:t>
            </w:r>
          </w:p>
          <w:p w14:paraId="627683FD">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center"/>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（3）招标人和评标委员会保留接受或拒绝任何变化、偏离或选择性报价的权力。凡超出招标文件规定的，或使招标人得到未曾要求的效益的变化、偏离、选择性报价或其它因素在评标时</w:t>
            </w:r>
          </w:p>
          <w:p w14:paraId="149B2DF5">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rPr>
            </w:pPr>
            <w:r>
              <w:rPr>
                <w:rFonts w:hint="eastAsia" w:ascii="仿宋" w:hAnsi="仿宋" w:eastAsia="仿宋" w:cs="仿宋"/>
                <w:b w:val="0"/>
                <w:bCs w:val="0"/>
                <w:color w:val="auto"/>
                <w:sz w:val="28"/>
                <w:szCs w:val="28"/>
                <w:highlight w:val="none"/>
                <w:vertAlign w:val="baseline"/>
                <w:lang w:val="en-US" w:eastAsia="zh-CN"/>
              </w:rPr>
              <w:t>将不予考虑。</w:t>
            </w:r>
          </w:p>
          <w:p w14:paraId="5BFBC0A9">
            <w:pPr>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exact"/>
              <w:ind w:left="0" w:leftChars="0" w:firstLine="0" w:firstLineChars="0"/>
              <w:jc w:val="both"/>
              <w:textAlignment w:val="auto"/>
              <w:rPr>
                <w:rFonts w:hint="eastAsia" w:ascii="仿宋" w:hAnsi="仿宋" w:eastAsia="仿宋" w:cs="仿宋"/>
                <w:b w:val="0"/>
                <w:bCs w:val="0"/>
                <w:color w:val="auto"/>
                <w:sz w:val="28"/>
                <w:szCs w:val="28"/>
                <w:highlight w:val="none"/>
                <w:vertAlign w:val="baseline"/>
                <w:lang w:val="en-US" w:eastAsia="zh-CN" w:bidi="ar-SA"/>
              </w:rPr>
            </w:pPr>
            <w:r>
              <w:rPr>
                <w:rFonts w:hint="eastAsia" w:ascii="仿宋" w:hAnsi="仿宋" w:eastAsia="仿宋" w:cs="仿宋"/>
                <w:b w:val="0"/>
                <w:bCs w:val="0"/>
                <w:color w:val="auto"/>
                <w:sz w:val="28"/>
                <w:szCs w:val="28"/>
                <w:highlight w:val="none"/>
                <w:vertAlign w:val="baseline"/>
                <w:lang w:val="en-US" w:eastAsia="zh-CN"/>
              </w:rPr>
              <w:t>（4）不同项目应分别递交投标保证金、递交相应投标文件。</w:t>
            </w:r>
          </w:p>
        </w:tc>
      </w:tr>
    </w:tbl>
    <w:p w14:paraId="3D06A96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0" w:firstLineChars="0"/>
        <w:textAlignment w:val="auto"/>
        <w:rPr>
          <w:rFonts w:hint="eastAsia" w:ascii="仿宋" w:hAnsi="仿宋" w:eastAsia="仿宋" w:cs="仿宋"/>
          <w:b w:val="0"/>
          <w:bCs w:val="0"/>
          <w:color w:val="auto"/>
          <w:sz w:val="28"/>
          <w:szCs w:val="28"/>
          <w:highlight w:val="none"/>
          <w:lang w:val="en-US" w:eastAsia="zh-CN"/>
        </w:rPr>
      </w:pPr>
    </w:p>
    <w:p w14:paraId="5830C39D">
      <w:pPr>
        <w:keepNext w:val="0"/>
        <w:keepLines w:val="0"/>
        <w:pageBreakBefore w:val="0"/>
        <w:numPr>
          <w:numId w:val="0"/>
        </w:numPr>
        <w:kinsoku/>
        <w:wordWrap/>
        <w:overflowPunct/>
        <w:topLinePunct w:val="0"/>
        <w:autoSpaceDE/>
        <w:autoSpaceDN/>
        <w:bidi w:val="0"/>
        <w:adjustRightInd w:val="0"/>
        <w:snapToGrid w:val="0"/>
        <w:spacing w:after="0" w:line="360" w:lineRule="exact"/>
        <w:ind w:firstLine="0" w:firstLineChars="0"/>
        <w:textAlignment w:val="auto"/>
        <w:outlineLvl w:val="1"/>
        <w:rPr>
          <w:rFonts w:hint="eastAsia" w:ascii="仿宋" w:hAnsi="仿宋" w:eastAsia="仿宋" w:cs="仿宋"/>
          <w:b w:val="0"/>
          <w:bCs w:val="0"/>
          <w:color w:val="auto"/>
          <w:sz w:val="28"/>
          <w:szCs w:val="28"/>
          <w:highlight w:val="none"/>
          <w:lang w:val="en-US" w:eastAsia="zh-CN"/>
        </w:rPr>
      </w:pPr>
      <w:bookmarkStart w:id="1" w:name="_Toc19195"/>
      <w:bookmarkStart w:id="2" w:name="_Toc9001120"/>
      <w:bookmarkStart w:id="3" w:name="_Toc8572393"/>
      <w:r>
        <w:rPr>
          <w:rFonts w:hint="eastAsia" w:ascii="仿宋" w:hAnsi="仿宋" w:eastAsia="仿宋" w:cs="仿宋"/>
          <w:b w:val="0"/>
          <w:bCs w:val="0"/>
          <w:color w:val="auto"/>
          <w:sz w:val="28"/>
          <w:szCs w:val="28"/>
          <w:highlight w:val="none"/>
          <w:lang w:val="en-US" w:eastAsia="zh-CN"/>
        </w:rPr>
        <w:t>二、招标无效、投标无效、中标无效的认定及处理：</w:t>
      </w:r>
      <w:bookmarkEnd w:id="1"/>
    </w:p>
    <w:bookmarkEnd w:id="2"/>
    <w:bookmarkEnd w:id="3"/>
    <w:p w14:paraId="39956640">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1" w:leftChars="0" w:firstLine="560" w:firstLineChars="200"/>
        <w:textAlignment w:val="auto"/>
        <w:rPr>
          <w:rFonts w:hint="eastAsia" w:ascii="仿宋" w:hAnsi="仿宋" w:eastAsia="仿宋" w:cs="仿宋"/>
          <w:b w:val="0"/>
          <w:bCs w:val="0"/>
          <w:color w:val="auto"/>
          <w:sz w:val="28"/>
          <w:szCs w:val="28"/>
          <w:highlight w:val="none"/>
          <w:lang w:val="en-US" w:eastAsia="zh-CN"/>
        </w:rPr>
      </w:pPr>
      <w:bookmarkStart w:id="4" w:name="_Toc8572396"/>
      <w:bookmarkStart w:id="5" w:name="_Toc9001123"/>
      <w:r>
        <w:rPr>
          <w:rFonts w:hint="eastAsia" w:ascii="仿宋" w:hAnsi="仿宋" w:eastAsia="仿宋" w:cs="仿宋"/>
          <w:b w:val="0"/>
          <w:bCs w:val="0"/>
          <w:color w:val="auto"/>
          <w:sz w:val="28"/>
          <w:szCs w:val="28"/>
          <w:highlight w:val="none"/>
          <w:lang w:val="en-US" w:eastAsia="zh-CN"/>
        </w:rPr>
        <w:t>（一）招标无效的情形（包括但不限于）：</w:t>
      </w:r>
      <w:bookmarkEnd w:id="4"/>
      <w:bookmarkEnd w:id="5"/>
    </w:p>
    <w:p w14:paraId="112C267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（1）违法发布公告，包括不在指定媒介发布招标公告；</w:t>
      </w:r>
    </w:p>
    <w:p w14:paraId="11CBBE5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（2）未经批准，应当公开招标而邀请招标；</w:t>
      </w:r>
    </w:p>
    <w:p w14:paraId="45D1D3CF">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（3）依法应当公开招标的项目，招标文件发售时间不符合法定要求；</w:t>
      </w:r>
    </w:p>
    <w:p w14:paraId="468CC198">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（4）招标人或者招标代理机构限制排斥潜在投标人；</w:t>
      </w:r>
    </w:p>
    <w:p w14:paraId="4D4B226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（5）招标人或者招标代理机构向他人透露已获取招标文件的潜在投标人的名称、</w:t>
      </w:r>
    </w:p>
    <w:p w14:paraId="71E51F94">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109"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数量或者可能影响公平竞争的有关招投标的其他情况，或者泄露标底；</w:t>
      </w:r>
    </w:p>
    <w:p w14:paraId="7AA4D38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（6）招标人或者招标代理机构与投标人串通；</w:t>
      </w:r>
    </w:p>
    <w:p w14:paraId="02CD79A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（7）招标代理机构在所代理的招标项目中投标或者代理投标。</w:t>
      </w:r>
    </w:p>
    <w:p w14:paraId="676C7480">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 xml:space="preserve">上述违法行为，如果在投标截止前发现的，责令改正并顺延投标截止时间。如果在投标截止后被发现和查实，且对中标结果造成实质性影响的，招标无效。如果是在中标通知书发出后被查实且影响中标结果的，中标无效。招标被确认无效的，招标人应当重新招标。 </w:t>
      </w:r>
      <w:r>
        <w:rPr>
          <w:rFonts w:hint="eastAsia" w:ascii="仿宋" w:hAnsi="仿宋" w:eastAsia="仿宋" w:cs="仿宋"/>
          <w:b w:val="0"/>
          <w:bCs w:val="0"/>
          <w:color w:val="auto"/>
          <w:sz w:val="28"/>
          <w:szCs w:val="28"/>
          <w:highlight w:val="none"/>
          <w:lang w:val="en-US" w:eastAsia="zh-CN"/>
        </w:rPr>
        <w:t xml:space="preserve">   </w:t>
      </w:r>
    </w:p>
    <w:p w14:paraId="5E1D623D">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1" w:leftChars="0" w:firstLine="560" w:firstLineChars="200"/>
        <w:textAlignment w:val="auto"/>
        <w:rPr>
          <w:rFonts w:hint="eastAsia" w:ascii="仿宋" w:hAnsi="仿宋" w:eastAsia="仿宋" w:cs="仿宋"/>
          <w:b w:val="0"/>
          <w:bCs w:val="0"/>
          <w:color w:val="auto"/>
          <w:sz w:val="28"/>
          <w:szCs w:val="28"/>
          <w:highlight w:val="none"/>
          <w:lang w:val="en-US" w:eastAsia="zh-CN"/>
        </w:rPr>
      </w:pPr>
      <w:bookmarkStart w:id="6" w:name="_Toc9001124"/>
      <w:bookmarkStart w:id="7" w:name="_Toc8572397"/>
      <w:r>
        <w:rPr>
          <w:rFonts w:hint="eastAsia" w:ascii="仿宋" w:hAnsi="仿宋" w:eastAsia="仿宋" w:cs="仿宋"/>
          <w:b w:val="0"/>
          <w:bCs w:val="0"/>
          <w:color w:val="auto"/>
          <w:sz w:val="28"/>
          <w:szCs w:val="28"/>
          <w:highlight w:val="none"/>
          <w:lang w:val="en-US" w:eastAsia="zh-CN"/>
        </w:rPr>
        <w:t>（二）投标无效的情形（包括但不限于）：</w:t>
      </w:r>
      <w:bookmarkEnd w:id="6"/>
      <w:bookmarkEnd w:id="7"/>
    </w:p>
    <w:p w14:paraId="61A5F205">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u w:val="single"/>
          <w:lang w:val="en-US" w:eastAsia="zh-CN"/>
        </w:rPr>
        <w:t>与招标人存在利害关系</w:t>
      </w:r>
      <w:r>
        <w:rPr>
          <w:rFonts w:hint="eastAsia" w:ascii="仿宋" w:hAnsi="仿宋" w:eastAsia="仿宋" w:cs="仿宋"/>
          <w:b w:val="0"/>
          <w:bCs w:val="0"/>
          <w:color w:val="auto"/>
          <w:sz w:val="28"/>
          <w:szCs w:val="28"/>
          <w:highlight w:val="none"/>
          <w:lang w:val="en-US" w:eastAsia="zh-CN"/>
        </w:rPr>
        <w:t>可能影响招标公正性的法人、其他组织或者个人参加投标的；</w:t>
      </w:r>
    </w:p>
    <w:p w14:paraId="21D28A9B">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（2）单位负责人为同一人或者存在控股、管理关系的不同单位，参加同一招标项目投标的；</w:t>
      </w:r>
    </w:p>
    <w:p w14:paraId="013CD768">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（3）资格预审后联合体增减、更换成员的（本次招标不涉及联合体招标）；</w:t>
      </w:r>
    </w:p>
    <w:p w14:paraId="117E7E2D">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（4）联合体各方在同一招标项目中以自己名义单独投标或者参加其他联合体投标的（本次招标不涉及联合体招标）；</w:t>
      </w:r>
    </w:p>
    <w:p w14:paraId="50805BF1">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（5）投标人发生合并、分立、破产等重大变化，不再具备资格预审文件、招标文件规定的资格条件或者其投标影响招标公正性的；</w:t>
      </w:r>
    </w:p>
    <w:p w14:paraId="46524B0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（6）投标人相互串通投标或者与招标人串通投标的；</w:t>
      </w:r>
    </w:p>
    <w:p w14:paraId="0F45FC29">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（7）投标人以他人名义投标或者以其他方式弄虚作假，骗取中标的；</w:t>
      </w:r>
    </w:p>
    <w:p w14:paraId="7CC7480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（8）投标人向招标人或者评标委员会成员行贿的；</w:t>
      </w:r>
    </w:p>
    <w:p w14:paraId="0D5F7C73">
      <w:pPr>
        <w:keepNext w:val="0"/>
        <w:keepLines w:val="0"/>
        <w:pageBreakBefore w:val="0"/>
        <w:numPr>
          <w:ilvl w:val="0"/>
          <w:numId w:val="0"/>
        </w:numPr>
        <w:kinsoku/>
        <w:wordWrap/>
        <w:overflowPunct/>
        <w:topLinePunct w:val="0"/>
        <w:autoSpaceDE/>
        <w:autoSpaceDN/>
        <w:bidi w:val="0"/>
        <w:adjustRightInd w:val="0"/>
        <w:snapToGrid w:val="0"/>
        <w:spacing w:after="0" w:line="360" w:lineRule="exact"/>
        <w:ind w:left="24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（9）投标人受到财产被查封、冻结或者被责令停产停业、吊销营业执照、取消投标资格等处罚的其他违法行为；</w:t>
      </w:r>
    </w:p>
    <w:p w14:paraId="341F2AD2">
      <w:pPr>
        <w:keepNext w:val="0"/>
        <w:keepLines w:val="0"/>
        <w:pageBreakBefore w:val="0"/>
        <w:numPr>
          <w:numId w:val="0"/>
        </w:numPr>
        <w:kinsoku/>
        <w:wordWrap/>
        <w:overflowPunct/>
        <w:topLinePunct w:val="0"/>
        <w:autoSpaceDE/>
        <w:autoSpaceDN/>
        <w:bidi w:val="0"/>
        <w:adjustRightInd w:val="0"/>
        <w:snapToGrid w:val="0"/>
        <w:spacing w:after="0" w:line="360" w:lineRule="exact"/>
        <w:ind w:firstLine="560" w:firstLineChars="200"/>
        <w:textAlignment w:val="auto"/>
        <w:outlineLvl w:val="1"/>
        <w:rPr>
          <w:rFonts w:hint="eastAsia" w:ascii="仿宋" w:hAnsi="仿宋" w:eastAsia="仿宋" w:cs="仿宋"/>
          <w:b w:val="0"/>
          <w:bCs w:val="0"/>
          <w:color w:val="auto"/>
          <w:sz w:val="28"/>
          <w:szCs w:val="28"/>
          <w:highlight w:val="none"/>
          <w:lang w:val="en-US" w:eastAsia="zh-CN"/>
        </w:rPr>
      </w:pPr>
      <w:bookmarkStart w:id="8" w:name="_Toc12529"/>
      <w:bookmarkStart w:id="9" w:name="_Toc56412904"/>
      <w:bookmarkStart w:id="10" w:name="_Toc20325"/>
      <w:bookmarkStart w:id="11" w:name="_Toc27372"/>
      <w:bookmarkStart w:id="12" w:name="_Toc12741725"/>
      <w:bookmarkStart w:id="13" w:name="_Toc29284426"/>
      <w:bookmarkStart w:id="14" w:name="_Toc26943"/>
      <w:bookmarkStart w:id="15" w:name="_Toc532318007"/>
      <w:bookmarkStart w:id="16" w:name="_Toc13225"/>
      <w:bookmarkStart w:id="17" w:name="_Toc5029"/>
      <w:bookmarkStart w:id="18" w:name="_Toc9001126"/>
      <w:bookmarkStart w:id="19" w:name="_Toc8572399"/>
      <w:bookmarkStart w:id="20" w:name="_Toc38791405"/>
      <w:r>
        <w:rPr>
          <w:rFonts w:hint="eastAsia" w:ascii="仿宋" w:hAnsi="仿宋" w:eastAsia="仿宋" w:cs="仿宋"/>
          <w:b w:val="0"/>
          <w:bCs w:val="0"/>
          <w:color w:val="auto"/>
          <w:sz w:val="28"/>
          <w:szCs w:val="28"/>
          <w:highlight w:val="none"/>
          <w:lang w:val="en-US" w:eastAsia="zh-CN"/>
        </w:rPr>
        <w:t>三、不予退还投标保证金的情形：</w:t>
      </w:r>
      <w:bookmarkEnd w:id="8"/>
    </w:p>
    <w:p w14:paraId="21647B8A">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jc w:val="both"/>
        <w:textAlignment w:val="auto"/>
        <w:outlineLvl w:val="1"/>
        <w:rPr>
          <w:rFonts w:hint="eastAsia" w:ascii="仿宋" w:hAnsi="仿宋" w:eastAsia="仿宋" w:cs="仿宋"/>
          <w:b w:val="0"/>
          <w:bCs w:val="0"/>
          <w:color w:val="auto"/>
          <w:sz w:val="28"/>
          <w:szCs w:val="28"/>
          <w:highlight w:val="none"/>
        </w:rPr>
      </w:pPr>
      <w:bookmarkStart w:id="21" w:name="_Toc18108"/>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一</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有下列情形之一的，投标保证金将不予退还：</w:t>
      </w:r>
      <w:bookmarkEnd w:id="21"/>
    </w:p>
    <w:p w14:paraId="7C249166">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rPr>
        <w:t>）投标截止</w:t>
      </w:r>
      <w:r>
        <w:rPr>
          <w:rFonts w:hint="eastAsia" w:ascii="仿宋" w:hAnsi="仿宋" w:eastAsia="仿宋" w:cs="仿宋"/>
          <w:b w:val="0"/>
          <w:bCs w:val="0"/>
          <w:color w:val="auto"/>
          <w:sz w:val="28"/>
          <w:szCs w:val="28"/>
          <w:highlight w:val="none"/>
          <w:lang w:val="en-US" w:eastAsia="zh-CN"/>
        </w:rPr>
        <w:t>之日后《中标通知书》发出之前，</w:t>
      </w:r>
      <w:r>
        <w:rPr>
          <w:rFonts w:hint="eastAsia" w:ascii="仿宋" w:hAnsi="仿宋" w:eastAsia="仿宋" w:cs="仿宋"/>
          <w:b w:val="0"/>
          <w:bCs w:val="0"/>
          <w:color w:val="auto"/>
          <w:sz w:val="28"/>
          <w:szCs w:val="28"/>
          <w:highlight w:val="none"/>
        </w:rPr>
        <w:t>投标人撤销其投标文件</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vertAlign w:val="baseline"/>
          <w:lang w:val="en-US" w:eastAsia="zh-CN"/>
        </w:rPr>
        <w:t>放弃投标</w:t>
      </w:r>
      <w:r>
        <w:rPr>
          <w:rFonts w:hint="eastAsia" w:ascii="仿宋" w:hAnsi="仿宋" w:eastAsia="仿宋" w:cs="仿宋"/>
          <w:b w:val="0"/>
          <w:bCs w:val="0"/>
          <w:color w:val="auto"/>
          <w:sz w:val="28"/>
          <w:szCs w:val="28"/>
          <w:highlight w:val="none"/>
        </w:rPr>
        <w:t>的；</w:t>
      </w:r>
    </w:p>
    <w:p w14:paraId="645286AF">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2</w:t>
      </w: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投标人有</w:t>
      </w:r>
      <w:r>
        <w:rPr>
          <w:rFonts w:hint="eastAsia" w:ascii="仿宋" w:hAnsi="仿宋" w:eastAsia="仿宋" w:cs="仿宋"/>
          <w:b w:val="0"/>
          <w:bCs w:val="0"/>
          <w:color w:val="auto"/>
          <w:sz w:val="28"/>
          <w:szCs w:val="28"/>
          <w:highlight w:val="none"/>
          <w:lang w:val="en-US" w:eastAsia="zh-CN"/>
        </w:rPr>
        <w:t>以他人的名义投标、串通投标、弄虚作假、行贿</w:t>
      </w:r>
      <w:r>
        <w:rPr>
          <w:rFonts w:hint="eastAsia" w:ascii="仿宋" w:hAnsi="仿宋" w:eastAsia="仿宋" w:cs="仿宋"/>
          <w:b w:val="0"/>
          <w:bCs w:val="0"/>
          <w:color w:val="auto"/>
          <w:sz w:val="28"/>
          <w:szCs w:val="28"/>
          <w:highlight w:val="none"/>
          <w:lang w:val="en-US" w:eastAsia="zh-CN"/>
        </w:rPr>
        <w:t>等违法行为</w:t>
      </w:r>
      <w:r>
        <w:rPr>
          <w:rFonts w:hint="eastAsia" w:ascii="仿宋" w:hAnsi="仿宋" w:eastAsia="仿宋" w:cs="仿宋"/>
          <w:b w:val="0"/>
          <w:bCs w:val="0"/>
          <w:color w:val="auto"/>
          <w:sz w:val="28"/>
          <w:szCs w:val="28"/>
          <w:highlight w:val="none"/>
          <w:lang w:val="en-US" w:eastAsia="zh-CN"/>
        </w:rPr>
        <w:t>的；</w:t>
      </w:r>
    </w:p>
    <w:p w14:paraId="313757AA">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3</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中标人无正当理由不与招标人订立合同</w:t>
      </w:r>
      <w:r>
        <w:rPr>
          <w:rFonts w:hint="eastAsia" w:ascii="仿宋" w:hAnsi="仿宋" w:eastAsia="仿宋" w:cs="仿宋"/>
          <w:b w:val="0"/>
          <w:bCs w:val="0"/>
          <w:color w:val="auto"/>
          <w:sz w:val="28"/>
          <w:szCs w:val="28"/>
          <w:highlight w:val="none"/>
          <w:lang w:val="en-US" w:eastAsia="zh-CN"/>
        </w:rPr>
        <w:t>和安全协议书或未在规定时间内</w:t>
      </w:r>
      <w:r>
        <w:rPr>
          <w:rFonts w:hint="eastAsia" w:ascii="仿宋" w:hAnsi="仿宋" w:eastAsia="仿宋" w:cs="仿宋"/>
          <w:b w:val="0"/>
          <w:bCs w:val="0"/>
          <w:color w:val="auto"/>
          <w:sz w:val="28"/>
          <w:szCs w:val="28"/>
          <w:highlight w:val="none"/>
        </w:rPr>
        <w:t>与招标人订立合同</w:t>
      </w:r>
      <w:r>
        <w:rPr>
          <w:rFonts w:hint="eastAsia" w:ascii="仿宋" w:hAnsi="仿宋" w:eastAsia="仿宋" w:cs="仿宋"/>
          <w:b w:val="0"/>
          <w:bCs w:val="0"/>
          <w:color w:val="auto"/>
          <w:sz w:val="28"/>
          <w:szCs w:val="28"/>
          <w:highlight w:val="none"/>
          <w:lang w:val="en-US" w:eastAsia="zh-CN"/>
        </w:rPr>
        <w:t>和安全协议书</w:t>
      </w:r>
      <w:r>
        <w:rPr>
          <w:rFonts w:hint="eastAsia" w:ascii="仿宋" w:hAnsi="仿宋" w:eastAsia="仿宋" w:cs="仿宋"/>
          <w:b w:val="0"/>
          <w:bCs w:val="0"/>
          <w:color w:val="auto"/>
          <w:sz w:val="28"/>
          <w:szCs w:val="28"/>
          <w:highlight w:val="none"/>
        </w:rPr>
        <w:t>的；</w:t>
      </w:r>
    </w:p>
    <w:p w14:paraId="7D241DA3">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4</w:t>
      </w:r>
      <w:r>
        <w:rPr>
          <w:rFonts w:hint="eastAsia" w:ascii="仿宋" w:hAnsi="仿宋" w:eastAsia="仿宋" w:cs="仿宋"/>
          <w:b w:val="0"/>
          <w:bCs w:val="0"/>
          <w:color w:val="auto"/>
          <w:sz w:val="28"/>
          <w:szCs w:val="28"/>
          <w:highlight w:val="none"/>
        </w:rPr>
        <w:t>）中标人在签订合同</w:t>
      </w:r>
      <w:r>
        <w:rPr>
          <w:rFonts w:hint="eastAsia" w:ascii="仿宋" w:hAnsi="仿宋" w:eastAsia="仿宋" w:cs="仿宋"/>
          <w:b w:val="0"/>
          <w:bCs w:val="0"/>
          <w:color w:val="auto"/>
          <w:sz w:val="28"/>
          <w:szCs w:val="28"/>
          <w:highlight w:val="none"/>
          <w:lang w:val="en-US" w:eastAsia="zh-CN"/>
        </w:rPr>
        <w:t>和安全协议书</w:t>
      </w:r>
      <w:r>
        <w:rPr>
          <w:rFonts w:hint="eastAsia" w:ascii="仿宋" w:hAnsi="仿宋" w:eastAsia="仿宋" w:cs="仿宋"/>
          <w:b w:val="0"/>
          <w:bCs w:val="0"/>
          <w:color w:val="auto"/>
          <w:sz w:val="28"/>
          <w:szCs w:val="28"/>
          <w:highlight w:val="none"/>
        </w:rPr>
        <w:t>时向招标人提出附加条件的；</w:t>
      </w:r>
    </w:p>
    <w:p w14:paraId="2F7044A5">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rPr>
        <w:t>（</w:t>
      </w:r>
      <w:r>
        <w:rPr>
          <w:rFonts w:hint="eastAsia" w:ascii="仿宋" w:hAnsi="仿宋" w:eastAsia="仿宋" w:cs="仿宋"/>
          <w:b w:val="0"/>
          <w:bCs w:val="0"/>
          <w:color w:val="auto"/>
          <w:sz w:val="28"/>
          <w:szCs w:val="28"/>
          <w:highlight w:val="none"/>
          <w:lang w:val="en-US" w:eastAsia="zh-CN"/>
        </w:rPr>
        <w:t>5</w:t>
      </w:r>
      <w:r>
        <w:rPr>
          <w:rFonts w:hint="eastAsia" w:ascii="仿宋" w:hAnsi="仿宋" w:eastAsia="仿宋" w:cs="仿宋"/>
          <w:b w:val="0"/>
          <w:bCs w:val="0"/>
          <w:color w:val="auto"/>
          <w:sz w:val="28"/>
          <w:szCs w:val="28"/>
          <w:highlight w:val="none"/>
        </w:rPr>
        <w:t>）中标人不按照招标文件要求提交履约保证金的</w:t>
      </w:r>
      <w:r>
        <w:rPr>
          <w:rFonts w:hint="eastAsia" w:ascii="仿宋" w:hAnsi="仿宋" w:eastAsia="仿宋" w:cs="仿宋"/>
          <w:b w:val="0"/>
          <w:bCs w:val="0"/>
          <w:color w:val="auto"/>
          <w:sz w:val="28"/>
          <w:szCs w:val="28"/>
          <w:highlight w:val="none"/>
          <w:lang w:eastAsia="zh-CN"/>
        </w:rPr>
        <w:t>；</w:t>
      </w:r>
    </w:p>
    <w:p w14:paraId="75309F3E">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6</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中标人</w:t>
      </w:r>
      <w:r>
        <w:rPr>
          <w:rFonts w:hint="eastAsia" w:ascii="仿宋" w:hAnsi="仿宋" w:eastAsia="仿宋" w:cs="仿宋"/>
          <w:b w:val="0"/>
          <w:bCs w:val="0"/>
          <w:color w:val="auto"/>
          <w:sz w:val="28"/>
          <w:szCs w:val="28"/>
          <w:highlight w:val="none"/>
          <w:lang w:val="en-US" w:eastAsia="zh-CN"/>
        </w:rPr>
        <w:t>收到《中标通知书》</w:t>
      </w:r>
      <w:r>
        <w:rPr>
          <w:rFonts w:hint="eastAsia" w:ascii="仿宋" w:hAnsi="仿宋" w:eastAsia="仿宋" w:cs="仿宋"/>
          <w:b w:val="0"/>
          <w:bCs w:val="0"/>
          <w:color w:val="auto"/>
          <w:sz w:val="28"/>
          <w:szCs w:val="28"/>
          <w:highlight w:val="none"/>
        </w:rPr>
        <w:t>后</w:t>
      </w:r>
      <w:r>
        <w:rPr>
          <w:rFonts w:hint="eastAsia" w:ascii="仿宋" w:hAnsi="仿宋" w:eastAsia="仿宋" w:cs="仿宋"/>
          <w:b w:val="0"/>
          <w:bCs w:val="0"/>
          <w:color w:val="auto"/>
          <w:sz w:val="28"/>
          <w:szCs w:val="28"/>
          <w:highlight w:val="none"/>
          <w:lang w:val="en-US" w:eastAsia="zh-CN"/>
        </w:rPr>
        <w:t>放弃中标或者被认定为中标无效的</w:t>
      </w:r>
      <w:r>
        <w:rPr>
          <w:rFonts w:hint="eastAsia" w:ascii="仿宋" w:hAnsi="仿宋" w:eastAsia="仿宋" w:cs="仿宋"/>
          <w:b w:val="0"/>
          <w:bCs w:val="0"/>
          <w:color w:val="auto"/>
          <w:sz w:val="28"/>
          <w:szCs w:val="28"/>
          <w:highlight w:val="none"/>
        </w:rPr>
        <w:t>。</w:t>
      </w:r>
    </w:p>
    <w:p w14:paraId="1025A9CC">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有以上（3）-（6）的情形的，招标人有权取消其中标资格</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lang w:val="en-US" w:eastAsia="zh-CN"/>
        </w:rPr>
        <w:t>因此给</w:t>
      </w:r>
      <w:r>
        <w:rPr>
          <w:rFonts w:hint="eastAsia" w:ascii="仿宋" w:hAnsi="仿宋" w:eastAsia="仿宋" w:cs="仿宋"/>
          <w:b w:val="0"/>
          <w:bCs w:val="0"/>
          <w:color w:val="auto"/>
          <w:sz w:val="28"/>
          <w:szCs w:val="28"/>
          <w:highlight w:val="none"/>
          <w:lang w:eastAsia="zh-CN"/>
        </w:rPr>
        <w:t>招标人</w:t>
      </w:r>
      <w:r>
        <w:rPr>
          <w:rFonts w:hint="eastAsia" w:ascii="仿宋" w:hAnsi="仿宋" w:eastAsia="仿宋" w:cs="仿宋"/>
          <w:b w:val="0"/>
          <w:bCs w:val="0"/>
          <w:color w:val="auto"/>
          <w:sz w:val="28"/>
          <w:szCs w:val="28"/>
          <w:highlight w:val="none"/>
          <w:lang w:val="en-US" w:eastAsia="zh-CN"/>
        </w:rPr>
        <w:t>造成</w:t>
      </w:r>
      <w:r>
        <w:rPr>
          <w:rFonts w:hint="eastAsia" w:ascii="仿宋" w:hAnsi="仿宋" w:eastAsia="仿宋" w:cs="仿宋"/>
          <w:b w:val="0"/>
          <w:bCs w:val="0"/>
          <w:color w:val="auto"/>
          <w:sz w:val="28"/>
          <w:szCs w:val="28"/>
          <w:highlight w:val="none"/>
          <w:lang w:eastAsia="zh-CN"/>
        </w:rPr>
        <w:t>损失的，应当</w:t>
      </w:r>
      <w:r>
        <w:rPr>
          <w:rFonts w:hint="eastAsia" w:ascii="仿宋" w:hAnsi="仿宋" w:eastAsia="仿宋" w:cs="仿宋"/>
          <w:b w:val="0"/>
          <w:bCs w:val="0"/>
          <w:color w:val="auto"/>
          <w:sz w:val="28"/>
          <w:szCs w:val="28"/>
          <w:highlight w:val="none"/>
          <w:lang w:val="en-US" w:eastAsia="zh-CN"/>
        </w:rPr>
        <w:t>全部</w:t>
      </w:r>
      <w:r>
        <w:rPr>
          <w:rFonts w:hint="eastAsia" w:ascii="仿宋" w:hAnsi="仿宋" w:eastAsia="仿宋" w:cs="仿宋"/>
          <w:b w:val="0"/>
          <w:bCs w:val="0"/>
          <w:color w:val="auto"/>
          <w:sz w:val="28"/>
          <w:szCs w:val="28"/>
          <w:highlight w:val="none"/>
          <w:lang w:eastAsia="zh-CN"/>
        </w:rPr>
        <w:t>赔偿。</w:t>
      </w:r>
    </w:p>
    <w:bookmarkEnd w:id="9"/>
    <w:bookmarkEnd w:id="10"/>
    <w:bookmarkEnd w:id="11"/>
    <w:bookmarkEnd w:id="12"/>
    <w:bookmarkEnd w:id="13"/>
    <w:bookmarkEnd w:id="14"/>
    <w:bookmarkEnd w:id="15"/>
    <w:bookmarkEnd w:id="16"/>
    <w:bookmarkEnd w:id="17"/>
    <w:bookmarkEnd w:id="18"/>
    <w:bookmarkEnd w:id="19"/>
    <w:bookmarkEnd w:id="20"/>
    <w:p w14:paraId="4B6F116B">
      <w:pPr>
        <w:pStyle w:val="2"/>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rPr>
          <w:rFonts w:hint="eastAsia" w:ascii="仿宋" w:hAnsi="仿宋" w:eastAsia="仿宋" w:cs="仿宋"/>
          <w:b w:val="0"/>
          <w:bCs w:val="0"/>
          <w:color w:val="auto"/>
          <w:sz w:val="28"/>
          <w:szCs w:val="28"/>
          <w:highlight w:val="none"/>
          <w:lang w:val="en-US" w:eastAsia="zh-CN"/>
        </w:rPr>
      </w:pPr>
    </w:p>
    <w:p w14:paraId="7E905C50">
      <w:pPr>
        <w:keepNext w:val="0"/>
        <w:keepLines w:val="0"/>
        <w:pageBreakBefore w:val="0"/>
        <w:kinsoku/>
        <w:wordWrap/>
        <w:overflowPunct/>
        <w:topLinePunct w:val="0"/>
        <w:autoSpaceDE/>
        <w:autoSpaceDN/>
        <w:bidi w:val="0"/>
        <w:adjustRightInd w:val="0"/>
        <w:snapToGrid w:val="0"/>
        <w:spacing w:line="360" w:lineRule="exact"/>
        <w:ind w:left="0" w:leftChars="0"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2" w:name="_Toc6386"/>
      <w:r>
        <w:rPr>
          <w:rFonts w:hint="eastAsia" w:ascii="仿宋" w:hAnsi="仿宋" w:eastAsia="仿宋" w:cs="仿宋"/>
          <w:b w:val="0"/>
          <w:bCs w:val="0"/>
          <w:color w:val="auto"/>
          <w:sz w:val="28"/>
          <w:szCs w:val="28"/>
          <w:highlight w:val="none"/>
          <w:lang w:val="en-US" w:eastAsia="zh-CN"/>
        </w:rPr>
        <w:t>四、投标文件附件</w:t>
      </w:r>
      <w:bookmarkEnd w:id="22"/>
    </w:p>
    <w:p w14:paraId="03FFCCCE">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3" w:name="_Toc13893"/>
      <w:r>
        <w:rPr>
          <w:rFonts w:hint="eastAsia" w:ascii="仿宋" w:hAnsi="仿宋" w:eastAsia="仿宋" w:cs="仿宋"/>
          <w:b w:val="0"/>
          <w:bCs w:val="0"/>
          <w:color w:val="auto"/>
          <w:sz w:val="28"/>
          <w:szCs w:val="28"/>
          <w:highlight w:val="none"/>
          <w:lang w:val="en-US" w:eastAsia="zh-CN"/>
        </w:rPr>
        <w:t>附件1：法定代表人身份证明</w:t>
      </w:r>
      <w:r>
        <w:rPr>
          <w:rFonts w:hint="eastAsia" w:ascii="仿宋" w:hAnsi="仿宋" w:eastAsia="仿宋" w:cs="仿宋"/>
          <w:b w:val="0"/>
          <w:bCs w:val="0"/>
          <w:color w:val="auto"/>
          <w:sz w:val="28"/>
          <w:szCs w:val="28"/>
          <w:highlight w:val="none"/>
          <w:lang w:val="en-US" w:eastAsia="zh-CN"/>
        </w:rPr>
        <w:t>；</w:t>
      </w:r>
      <w:bookmarkEnd w:id="23"/>
    </w:p>
    <w:p w14:paraId="2318B4A3">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4" w:name="_Toc6652"/>
      <w:r>
        <w:rPr>
          <w:rFonts w:hint="eastAsia" w:ascii="仿宋" w:hAnsi="仿宋" w:eastAsia="仿宋" w:cs="仿宋"/>
          <w:b w:val="0"/>
          <w:bCs w:val="0"/>
          <w:color w:val="auto"/>
          <w:sz w:val="28"/>
          <w:szCs w:val="28"/>
          <w:highlight w:val="none"/>
          <w:lang w:val="en-US" w:eastAsia="zh-CN"/>
        </w:rPr>
        <w:t>附件2：授权委托书；</w:t>
      </w:r>
      <w:bookmarkEnd w:id="24"/>
    </w:p>
    <w:p w14:paraId="4B935275">
      <w:pPr>
        <w:keepNext w:val="0"/>
        <w:keepLines w:val="0"/>
        <w:pageBreakBefore w:val="0"/>
        <w:numPr>
          <w:ilvl w:val="0"/>
          <w:numId w:val="0"/>
        </w:numPr>
        <w:kinsoku/>
        <w:wordWrap/>
        <w:overflowPunct/>
        <w:topLinePunct w:val="0"/>
        <w:autoSpaceDE/>
        <w:autoSpaceDN/>
        <w:bidi w:val="0"/>
        <w:adjustRightInd w:val="0"/>
        <w:snapToGrid w:val="0"/>
        <w:spacing w:line="360" w:lineRule="exact"/>
        <w:ind w:firstLine="560" w:firstLineChars="200"/>
        <w:textAlignment w:val="auto"/>
        <w:outlineLvl w:val="0"/>
        <w:rPr>
          <w:rFonts w:hint="eastAsia" w:ascii="仿宋" w:hAnsi="仿宋" w:eastAsia="仿宋" w:cs="仿宋"/>
          <w:b w:val="0"/>
          <w:bCs w:val="0"/>
          <w:color w:val="auto"/>
          <w:sz w:val="28"/>
          <w:szCs w:val="28"/>
          <w:highlight w:val="none"/>
          <w:lang w:val="en-US" w:eastAsia="zh-CN"/>
        </w:rPr>
      </w:pPr>
      <w:bookmarkStart w:id="25" w:name="_Toc30"/>
      <w:r>
        <w:rPr>
          <w:rFonts w:hint="eastAsia" w:ascii="仿宋" w:hAnsi="仿宋" w:eastAsia="仿宋" w:cs="仿宋"/>
          <w:b w:val="0"/>
          <w:bCs w:val="0"/>
          <w:color w:val="auto"/>
          <w:sz w:val="28"/>
          <w:szCs w:val="28"/>
          <w:highlight w:val="none"/>
          <w:lang w:val="en-US" w:eastAsia="zh-CN"/>
        </w:rPr>
        <w:t>附件3：财务情况表；</w:t>
      </w:r>
      <w:bookmarkEnd w:id="25"/>
    </w:p>
    <w:p w14:paraId="5DA21C83">
      <w:pPr>
        <w:pStyle w:val="2"/>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附件4：分项报价表（含最低投标价）；</w:t>
      </w:r>
    </w:p>
    <w:p w14:paraId="19E24310">
      <w:pPr>
        <w:pStyle w:val="2"/>
        <w:outlineLvl w:val="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附件5：近年完成的类似项目情况表。</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40"/>
      </w:pPr>
      <w:r>
        <w:separator/>
      </w:r>
    </w:p>
  </w:endnote>
  <w:endnote w:type="continuationSeparator" w:id="1">
    <w:p>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42BD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D72A5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D72A5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440"/>
      </w:pPr>
      <w:r>
        <w:separator/>
      </w:r>
    </w:p>
  </w:footnote>
  <w:footnote w:type="continuationSeparator" w:id="1">
    <w:p>
      <w:pPr>
        <w:spacing w:before="0" w:after="0"/>
        <w:ind w:firstLine="4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63932"/>
    <w:multiLevelType w:val="singleLevel"/>
    <w:tmpl w:val="AF763932"/>
    <w:lvl w:ilvl="0" w:tentative="0">
      <w:start w:val="1"/>
      <w:numFmt w:val="decimal"/>
      <w:suff w:val="nothing"/>
      <w:lvlText w:val="（%1）"/>
      <w:lvlJc w:val="left"/>
      <w:pPr>
        <w:ind w:left="-200"/>
      </w:pPr>
    </w:lvl>
  </w:abstractNum>
  <w:abstractNum w:abstractNumId="1">
    <w:nsid w:val="C69A69C8"/>
    <w:multiLevelType w:val="singleLevel"/>
    <w:tmpl w:val="C69A69C8"/>
    <w:lvl w:ilvl="0" w:tentative="0">
      <w:start w:val="1"/>
      <w:numFmt w:val="decimal"/>
      <w:suff w:val="nothing"/>
      <w:lvlText w:val="（%1）"/>
      <w:lvlJc w:val="left"/>
      <w:pPr>
        <w:ind w:left="-2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2UwYzhjMDdkMDJiNzlmMDQ5NDcyMTczYzhlZTMifQ=="/>
  </w:docVars>
  <w:rsids>
    <w:rsidRoot w:val="237C7F45"/>
    <w:rsid w:val="002476F3"/>
    <w:rsid w:val="00D35503"/>
    <w:rsid w:val="012C5BFF"/>
    <w:rsid w:val="03D9712A"/>
    <w:rsid w:val="048266FB"/>
    <w:rsid w:val="04DA42DE"/>
    <w:rsid w:val="05BD6F8F"/>
    <w:rsid w:val="05F53B57"/>
    <w:rsid w:val="06762CB3"/>
    <w:rsid w:val="06A15FE6"/>
    <w:rsid w:val="06D5093D"/>
    <w:rsid w:val="07302A71"/>
    <w:rsid w:val="0793435A"/>
    <w:rsid w:val="087C50E2"/>
    <w:rsid w:val="09BF099D"/>
    <w:rsid w:val="09DD5002"/>
    <w:rsid w:val="0B3632ED"/>
    <w:rsid w:val="0C285DC9"/>
    <w:rsid w:val="0C2A5CE1"/>
    <w:rsid w:val="0C2B5509"/>
    <w:rsid w:val="0D4F5EF3"/>
    <w:rsid w:val="0D6B4314"/>
    <w:rsid w:val="0D704C94"/>
    <w:rsid w:val="0D9A2E43"/>
    <w:rsid w:val="0DA06B56"/>
    <w:rsid w:val="0DF13DA1"/>
    <w:rsid w:val="0E8B2A2C"/>
    <w:rsid w:val="0EE20B12"/>
    <w:rsid w:val="0F572FFD"/>
    <w:rsid w:val="1021564D"/>
    <w:rsid w:val="107A56EA"/>
    <w:rsid w:val="10A77916"/>
    <w:rsid w:val="117C500D"/>
    <w:rsid w:val="11AF5A73"/>
    <w:rsid w:val="127D3343"/>
    <w:rsid w:val="12A56A47"/>
    <w:rsid w:val="13144FF5"/>
    <w:rsid w:val="13A35A5E"/>
    <w:rsid w:val="145B4059"/>
    <w:rsid w:val="14792F00"/>
    <w:rsid w:val="149C3BE3"/>
    <w:rsid w:val="14C803E9"/>
    <w:rsid w:val="14DA0DAA"/>
    <w:rsid w:val="14EC447B"/>
    <w:rsid w:val="154279CE"/>
    <w:rsid w:val="15AA7221"/>
    <w:rsid w:val="15CD7051"/>
    <w:rsid w:val="1796247C"/>
    <w:rsid w:val="17D32D00"/>
    <w:rsid w:val="193261D5"/>
    <w:rsid w:val="196B214B"/>
    <w:rsid w:val="198729C4"/>
    <w:rsid w:val="19B32AB5"/>
    <w:rsid w:val="1A340FA4"/>
    <w:rsid w:val="1A350962"/>
    <w:rsid w:val="1A5303ED"/>
    <w:rsid w:val="1A5B79AD"/>
    <w:rsid w:val="1AB36B84"/>
    <w:rsid w:val="1AE906E0"/>
    <w:rsid w:val="1B0A3294"/>
    <w:rsid w:val="1B633925"/>
    <w:rsid w:val="1B6D3477"/>
    <w:rsid w:val="1B7E50D8"/>
    <w:rsid w:val="1BC57427"/>
    <w:rsid w:val="1BFA06A5"/>
    <w:rsid w:val="1C0A6C02"/>
    <w:rsid w:val="1CDD2398"/>
    <w:rsid w:val="1CFF46A4"/>
    <w:rsid w:val="1D4B42CE"/>
    <w:rsid w:val="1E447672"/>
    <w:rsid w:val="1EB51D82"/>
    <w:rsid w:val="207376E8"/>
    <w:rsid w:val="20CB0FBA"/>
    <w:rsid w:val="20FD15A0"/>
    <w:rsid w:val="210525E3"/>
    <w:rsid w:val="21D14472"/>
    <w:rsid w:val="22F54732"/>
    <w:rsid w:val="23766755"/>
    <w:rsid w:val="237C7F45"/>
    <w:rsid w:val="23C43C5E"/>
    <w:rsid w:val="23C80EDF"/>
    <w:rsid w:val="23DC7EA8"/>
    <w:rsid w:val="248E769B"/>
    <w:rsid w:val="24B32817"/>
    <w:rsid w:val="24E91576"/>
    <w:rsid w:val="257038D2"/>
    <w:rsid w:val="25B35A39"/>
    <w:rsid w:val="25D858CA"/>
    <w:rsid w:val="25F14700"/>
    <w:rsid w:val="26497962"/>
    <w:rsid w:val="265B443C"/>
    <w:rsid w:val="270D0828"/>
    <w:rsid w:val="272A0EA7"/>
    <w:rsid w:val="274E717C"/>
    <w:rsid w:val="27C6059B"/>
    <w:rsid w:val="27D659EE"/>
    <w:rsid w:val="28295DA8"/>
    <w:rsid w:val="29741E24"/>
    <w:rsid w:val="29EE5AA2"/>
    <w:rsid w:val="2AB62BD1"/>
    <w:rsid w:val="2B48675C"/>
    <w:rsid w:val="2B4B1002"/>
    <w:rsid w:val="2BDF6C02"/>
    <w:rsid w:val="2C1326CF"/>
    <w:rsid w:val="2D0348C4"/>
    <w:rsid w:val="2D2D298E"/>
    <w:rsid w:val="2DD53E0C"/>
    <w:rsid w:val="2E222864"/>
    <w:rsid w:val="2E554EA6"/>
    <w:rsid w:val="2F325423"/>
    <w:rsid w:val="2F6E1D34"/>
    <w:rsid w:val="2FEC3715"/>
    <w:rsid w:val="2FFE17B1"/>
    <w:rsid w:val="30450A8C"/>
    <w:rsid w:val="30A63006"/>
    <w:rsid w:val="30AC0821"/>
    <w:rsid w:val="30D7474A"/>
    <w:rsid w:val="316A07AA"/>
    <w:rsid w:val="317207CF"/>
    <w:rsid w:val="317433D6"/>
    <w:rsid w:val="31AC0DC2"/>
    <w:rsid w:val="31CD6105"/>
    <w:rsid w:val="32387268"/>
    <w:rsid w:val="32B52362"/>
    <w:rsid w:val="32D21DFD"/>
    <w:rsid w:val="33091B17"/>
    <w:rsid w:val="33105FBB"/>
    <w:rsid w:val="332018E0"/>
    <w:rsid w:val="33457707"/>
    <w:rsid w:val="337B6A07"/>
    <w:rsid w:val="33E37C58"/>
    <w:rsid w:val="344E619C"/>
    <w:rsid w:val="347F6576"/>
    <w:rsid w:val="34A314F9"/>
    <w:rsid w:val="35A85448"/>
    <w:rsid w:val="35E84393"/>
    <w:rsid w:val="36F81E3D"/>
    <w:rsid w:val="370C123D"/>
    <w:rsid w:val="375B35D8"/>
    <w:rsid w:val="37604D67"/>
    <w:rsid w:val="379C0899"/>
    <w:rsid w:val="37C347BC"/>
    <w:rsid w:val="386D2175"/>
    <w:rsid w:val="386E1925"/>
    <w:rsid w:val="38705D92"/>
    <w:rsid w:val="38A8605B"/>
    <w:rsid w:val="39535FC7"/>
    <w:rsid w:val="3A18665E"/>
    <w:rsid w:val="3AA831AF"/>
    <w:rsid w:val="3ABB57E2"/>
    <w:rsid w:val="3AD10985"/>
    <w:rsid w:val="3B4429EB"/>
    <w:rsid w:val="3BE711E3"/>
    <w:rsid w:val="3C677755"/>
    <w:rsid w:val="3CEC78A0"/>
    <w:rsid w:val="3D0D43BC"/>
    <w:rsid w:val="3DA037A5"/>
    <w:rsid w:val="3E717806"/>
    <w:rsid w:val="3F856DF7"/>
    <w:rsid w:val="3FA44006"/>
    <w:rsid w:val="401E03B0"/>
    <w:rsid w:val="409C1CB1"/>
    <w:rsid w:val="41A81EC9"/>
    <w:rsid w:val="425070DC"/>
    <w:rsid w:val="432C27BF"/>
    <w:rsid w:val="435264F8"/>
    <w:rsid w:val="4359067E"/>
    <w:rsid w:val="439F6030"/>
    <w:rsid w:val="43BA7072"/>
    <w:rsid w:val="44A91191"/>
    <w:rsid w:val="452B268D"/>
    <w:rsid w:val="459A6243"/>
    <w:rsid w:val="45A836C5"/>
    <w:rsid w:val="468C6F78"/>
    <w:rsid w:val="47020241"/>
    <w:rsid w:val="47666DAC"/>
    <w:rsid w:val="47846A1C"/>
    <w:rsid w:val="47A0720C"/>
    <w:rsid w:val="47D40997"/>
    <w:rsid w:val="47F41D83"/>
    <w:rsid w:val="484B50E6"/>
    <w:rsid w:val="489F3A56"/>
    <w:rsid w:val="497D7816"/>
    <w:rsid w:val="4B7D6E26"/>
    <w:rsid w:val="4BD32FDD"/>
    <w:rsid w:val="4C1710D6"/>
    <w:rsid w:val="4C227F93"/>
    <w:rsid w:val="4CCC4BE9"/>
    <w:rsid w:val="4CD1365E"/>
    <w:rsid w:val="4DD47AE1"/>
    <w:rsid w:val="4DEC3685"/>
    <w:rsid w:val="4F5269CF"/>
    <w:rsid w:val="4FA85319"/>
    <w:rsid w:val="50332FE1"/>
    <w:rsid w:val="50A43C3C"/>
    <w:rsid w:val="51AA543B"/>
    <w:rsid w:val="52184841"/>
    <w:rsid w:val="523B4575"/>
    <w:rsid w:val="539211CB"/>
    <w:rsid w:val="53AB4F0D"/>
    <w:rsid w:val="545D0DE9"/>
    <w:rsid w:val="55195EBF"/>
    <w:rsid w:val="55AF0E23"/>
    <w:rsid w:val="55C123E7"/>
    <w:rsid w:val="56953F88"/>
    <w:rsid w:val="57B74DD8"/>
    <w:rsid w:val="57C80B78"/>
    <w:rsid w:val="58A14202"/>
    <w:rsid w:val="58DA5004"/>
    <w:rsid w:val="594A4899"/>
    <w:rsid w:val="5A020A23"/>
    <w:rsid w:val="5A17336B"/>
    <w:rsid w:val="5AB635DB"/>
    <w:rsid w:val="5B1E19ED"/>
    <w:rsid w:val="5B2D13A4"/>
    <w:rsid w:val="5B4938D5"/>
    <w:rsid w:val="5BFA29FA"/>
    <w:rsid w:val="5C3D14AF"/>
    <w:rsid w:val="5C427641"/>
    <w:rsid w:val="5C545A2F"/>
    <w:rsid w:val="5CB10FE2"/>
    <w:rsid w:val="5CB95046"/>
    <w:rsid w:val="5D920918"/>
    <w:rsid w:val="5D9A106F"/>
    <w:rsid w:val="5E4935BF"/>
    <w:rsid w:val="5E884785"/>
    <w:rsid w:val="5EB74F45"/>
    <w:rsid w:val="5EEC39E2"/>
    <w:rsid w:val="5F2D1718"/>
    <w:rsid w:val="5F555D46"/>
    <w:rsid w:val="5FE64D20"/>
    <w:rsid w:val="5FF2302B"/>
    <w:rsid w:val="60606C05"/>
    <w:rsid w:val="60F65950"/>
    <w:rsid w:val="613B0F6B"/>
    <w:rsid w:val="61772C87"/>
    <w:rsid w:val="61D67CE4"/>
    <w:rsid w:val="624A4C04"/>
    <w:rsid w:val="6354134D"/>
    <w:rsid w:val="63F5745A"/>
    <w:rsid w:val="646F0B80"/>
    <w:rsid w:val="64C137EB"/>
    <w:rsid w:val="64D04DAE"/>
    <w:rsid w:val="64ED275C"/>
    <w:rsid w:val="65E03087"/>
    <w:rsid w:val="66B55DAE"/>
    <w:rsid w:val="670A0786"/>
    <w:rsid w:val="67147E1B"/>
    <w:rsid w:val="67C73E24"/>
    <w:rsid w:val="67E01E49"/>
    <w:rsid w:val="681F3E39"/>
    <w:rsid w:val="68233B70"/>
    <w:rsid w:val="69112B68"/>
    <w:rsid w:val="6A092961"/>
    <w:rsid w:val="6A097E59"/>
    <w:rsid w:val="6AB02EF4"/>
    <w:rsid w:val="6ADF750B"/>
    <w:rsid w:val="6B136E0C"/>
    <w:rsid w:val="6BDD6AD6"/>
    <w:rsid w:val="6C156905"/>
    <w:rsid w:val="6CA77594"/>
    <w:rsid w:val="6D68758C"/>
    <w:rsid w:val="6DD95D94"/>
    <w:rsid w:val="6E90473F"/>
    <w:rsid w:val="6F6F4C02"/>
    <w:rsid w:val="71070C41"/>
    <w:rsid w:val="726E11A1"/>
    <w:rsid w:val="732D1974"/>
    <w:rsid w:val="736F3516"/>
    <w:rsid w:val="747D5DAB"/>
    <w:rsid w:val="749039ED"/>
    <w:rsid w:val="74D95477"/>
    <w:rsid w:val="74E97688"/>
    <w:rsid w:val="75113249"/>
    <w:rsid w:val="752F1A02"/>
    <w:rsid w:val="761A17E2"/>
    <w:rsid w:val="76574392"/>
    <w:rsid w:val="76B25B22"/>
    <w:rsid w:val="770B7EC4"/>
    <w:rsid w:val="77212C85"/>
    <w:rsid w:val="772D63B4"/>
    <w:rsid w:val="773A01F2"/>
    <w:rsid w:val="77680868"/>
    <w:rsid w:val="778F6531"/>
    <w:rsid w:val="787E0C79"/>
    <w:rsid w:val="78915BE9"/>
    <w:rsid w:val="79F205CB"/>
    <w:rsid w:val="7A3C60BD"/>
    <w:rsid w:val="7B8C5067"/>
    <w:rsid w:val="7BA233AE"/>
    <w:rsid w:val="7C805B2D"/>
    <w:rsid w:val="7C9041D0"/>
    <w:rsid w:val="7CD91D76"/>
    <w:rsid w:val="7CFB260C"/>
    <w:rsid w:val="7D443276"/>
    <w:rsid w:val="7D504566"/>
    <w:rsid w:val="7D917925"/>
    <w:rsid w:val="7DF43C9A"/>
    <w:rsid w:val="7DFD0B6F"/>
    <w:rsid w:val="7E6B15DD"/>
    <w:rsid w:val="7E784D74"/>
    <w:rsid w:val="7F052E8D"/>
    <w:rsid w:val="7F323556"/>
    <w:rsid w:val="7F44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ind w:firstLine="200" w:firstLineChars="200"/>
    </w:pPr>
    <w:rPr>
      <w:rFonts w:ascii="Tahoma" w:hAnsi="Tahoma" w:eastAsia="微软雅黑" w:cstheme="minorBidi"/>
      <w:sz w:val="22"/>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Body Text 3"/>
    <w:basedOn w:val="1"/>
    <w:qFormat/>
    <w:uiPriority w:val="0"/>
    <w:rPr>
      <w:rFonts w:ascii="宋体" w:hAnsi="Calibri"/>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firstLine="420"/>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2350</Words>
  <Characters>2467</Characters>
  <Lines>0</Lines>
  <Paragraphs>0</Paragraphs>
  <TotalTime>1</TotalTime>
  <ScaleCrop>false</ScaleCrop>
  <LinksUpToDate>false</LinksUpToDate>
  <CharactersWithSpaces>2614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2022-01-07T09:42:00Z</dcterms:created>
  <dc:creator>岁月忽已暮～</dc:creator>
  <cp:lastModifiedBy>张晨明</cp:lastModifiedBy>
  <dcterms:modified xsi:type="dcterms:W3CDTF">2024-12-11T08:48:46Z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84FDE60882AB41E89881F0B37A03AE43</vt:lpwstr>
  </property>
</Properties>
</file>